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CA07C">
      <w:pPr>
        <w:spacing w:line="580" w:lineRule="exact"/>
        <w:rPr>
          <w:rFonts w:hint="eastAsia" w:ascii="黑体" w:hAnsi="黑体" w:eastAsia="黑体" w:cs="黑体"/>
          <w:color w:val="auto"/>
          <w:sz w:val="32"/>
          <w:szCs w:val="32"/>
          <w:highlight w:val="none"/>
          <w:lang w:eastAsia="zh-CN"/>
        </w:rPr>
      </w:pPr>
    </w:p>
    <w:p w14:paraId="2ECEB000">
      <w:pPr>
        <w:spacing w:line="580" w:lineRule="exact"/>
        <w:rPr>
          <w:rFonts w:hint="eastAsia" w:ascii="宋体" w:hAnsi="宋体" w:eastAsia="宋体"/>
          <w:color w:val="auto"/>
          <w:highlight w:val="none"/>
        </w:rPr>
      </w:pPr>
    </w:p>
    <w:p w14:paraId="00369701">
      <w:pPr>
        <w:spacing w:line="580" w:lineRule="exact"/>
        <w:rPr>
          <w:rFonts w:hint="eastAsia" w:ascii="宋体" w:hAnsi="宋体" w:eastAsia="宋体"/>
          <w:color w:val="auto"/>
          <w:highlight w:val="none"/>
        </w:rPr>
      </w:pPr>
    </w:p>
    <w:p w14:paraId="289FC10D">
      <w:pPr>
        <w:autoSpaceDE w:val="0"/>
        <w:autoSpaceDN w:val="0"/>
        <w:adjustRightInd w:val="0"/>
        <w:snapToGrid w:val="0"/>
        <w:spacing w:line="580" w:lineRule="exact"/>
        <w:jc w:val="center"/>
        <w:rPr>
          <w:rFonts w:hint="eastAsia"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71EEEA15">
      <w:pPr>
        <w:spacing w:line="580" w:lineRule="exact"/>
        <w:rPr>
          <w:rFonts w:hint="eastAsia" w:ascii="宋体" w:hAnsi="宋体" w:eastAsia="宋体"/>
          <w:color w:val="auto"/>
          <w:highlight w:val="none"/>
        </w:rPr>
      </w:pPr>
    </w:p>
    <w:p w14:paraId="2B938032">
      <w:pPr>
        <w:pStyle w:val="4"/>
        <w:rPr>
          <w:rFonts w:hint="eastAsia" w:ascii="宋体" w:hAnsi="宋体" w:eastAsia="宋体"/>
          <w:color w:val="auto"/>
          <w:highlight w:val="none"/>
        </w:rPr>
      </w:pPr>
    </w:p>
    <w:p w14:paraId="2E5EC9D4">
      <w:pPr>
        <w:rPr>
          <w:rFonts w:hint="eastAsia"/>
          <w:color w:val="auto"/>
          <w:highlight w:val="none"/>
        </w:rPr>
      </w:pPr>
    </w:p>
    <w:p w14:paraId="6DFCC17C">
      <w:pPr>
        <w:spacing w:line="580" w:lineRule="exact"/>
        <w:rPr>
          <w:rFonts w:hint="eastAsia" w:ascii="宋体" w:hAnsi="宋体" w:eastAsia="宋体"/>
          <w:color w:val="auto"/>
          <w:highlight w:val="none"/>
        </w:rPr>
      </w:pPr>
    </w:p>
    <w:p w14:paraId="3BC6241B">
      <w:pPr>
        <w:spacing w:line="580" w:lineRule="exact"/>
        <w:rPr>
          <w:rFonts w:hint="eastAsia" w:ascii="宋体" w:hAnsi="宋体" w:eastAsia="宋体"/>
          <w:color w:val="auto"/>
          <w:highlight w:val="none"/>
        </w:rPr>
      </w:pPr>
    </w:p>
    <w:p w14:paraId="2422F38F">
      <w:pPr>
        <w:spacing w:line="580" w:lineRule="exact"/>
        <w:rPr>
          <w:rFonts w:hint="eastAsia" w:ascii="宋体" w:hAnsi="宋体" w:eastAsia="宋体"/>
          <w:color w:val="auto"/>
          <w:highlight w:val="none"/>
        </w:rPr>
      </w:pPr>
    </w:p>
    <w:p w14:paraId="45E9EB21">
      <w:pPr>
        <w:spacing w:line="580" w:lineRule="exact"/>
        <w:rPr>
          <w:rFonts w:hint="eastAsia" w:ascii="宋体" w:hAnsi="宋体" w:eastAsia="宋体"/>
          <w:color w:val="auto"/>
          <w:highlight w:val="none"/>
        </w:rPr>
      </w:pPr>
    </w:p>
    <w:p w14:paraId="02A63406">
      <w:pPr>
        <w:spacing w:line="580" w:lineRule="exact"/>
        <w:rPr>
          <w:rFonts w:hint="eastAsia" w:ascii="宋体" w:hAnsi="宋体" w:eastAsia="宋体"/>
          <w:color w:val="auto"/>
          <w:highlight w:val="none"/>
        </w:rPr>
      </w:pPr>
    </w:p>
    <w:p w14:paraId="10B9FE80">
      <w:pPr>
        <w:spacing w:line="580" w:lineRule="exact"/>
        <w:rPr>
          <w:rFonts w:hint="eastAsia" w:ascii="宋体" w:hAnsi="宋体" w:eastAsia="宋体"/>
          <w:color w:val="auto"/>
          <w:highlight w:val="none"/>
        </w:rPr>
      </w:pPr>
    </w:p>
    <w:p w14:paraId="1AF88BA0">
      <w:pPr>
        <w:spacing w:line="580" w:lineRule="exact"/>
        <w:rPr>
          <w:rFonts w:hint="eastAsia" w:ascii="宋体" w:hAnsi="宋体" w:eastAsia="宋体"/>
          <w:color w:val="auto"/>
          <w:highlight w:val="none"/>
        </w:rPr>
      </w:pPr>
    </w:p>
    <w:p w14:paraId="4FBC6F9D">
      <w:pPr>
        <w:spacing w:line="580" w:lineRule="exact"/>
        <w:rPr>
          <w:rFonts w:hint="eastAsia" w:ascii="宋体" w:hAnsi="宋体" w:eastAsia="宋体"/>
          <w:color w:val="auto"/>
          <w:highlight w:val="none"/>
        </w:rPr>
      </w:pPr>
    </w:p>
    <w:p w14:paraId="3DAF4FB1">
      <w:pPr>
        <w:spacing w:line="580" w:lineRule="exact"/>
        <w:rPr>
          <w:rFonts w:hint="eastAsia" w:ascii="宋体" w:hAnsi="宋体" w:eastAsia="宋体"/>
          <w:color w:val="auto"/>
          <w:highlight w:val="none"/>
        </w:rPr>
      </w:pPr>
    </w:p>
    <w:p w14:paraId="585B4372">
      <w:pPr>
        <w:spacing w:line="580" w:lineRule="exact"/>
        <w:rPr>
          <w:rFonts w:hint="eastAsia" w:ascii="宋体" w:hAnsi="宋体" w:eastAsia="宋体"/>
          <w:color w:val="auto"/>
          <w:highlight w:val="none"/>
        </w:rPr>
      </w:pPr>
    </w:p>
    <w:p w14:paraId="2C71FAB8">
      <w:pPr>
        <w:pStyle w:val="2"/>
        <w:rPr>
          <w:rFonts w:hint="eastAsia"/>
          <w:color w:val="auto"/>
          <w:highlight w:val="none"/>
        </w:rPr>
      </w:pPr>
    </w:p>
    <w:p w14:paraId="329C5FEE">
      <w:pPr>
        <w:spacing w:line="580" w:lineRule="exact"/>
        <w:rPr>
          <w:rFonts w:hint="eastAsia" w:ascii="宋体" w:hAnsi="宋体" w:eastAsia="宋体"/>
          <w:color w:val="auto"/>
          <w:highlight w:val="none"/>
        </w:rPr>
      </w:pPr>
    </w:p>
    <w:p w14:paraId="6FE75CE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417AB0AF">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911722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9808556">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3DBF7D62">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50998B4B">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0188F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065F743B">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283B0D9A">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24AD2019">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584086C">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36698C0F">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03597A82">
      <w:pPr>
        <w:autoSpaceDE w:val="0"/>
        <w:autoSpaceDN w:val="0"/>
        <w:adjustRightInd w:val="0"/>
        <w:spacing w:line="580" w:lineRule="exact"/>
        <w:jc w:val="left"/>
        <w:rPr>
          <w:rFonts w:hint="eastAsia" w:ascii="宋体" w:hAnsi="宋体" w:eastAsia="宋体"/>
          <w:color w:val="auto"/>
          <w:kern w:val="0"/>
          <w:sz w:val="24"/>
          <w:szCs w:val="24"/>
          <w:highlight w:val="none"/>
        </w:rPr>
      </w:pPr>
    </w:p>
    <w:p w14:paraId="29B07D16">
      <w:pPr>
        <w:framePr w:w="2294" w:h="220" w:hSpace="180" w:vSpace="180" w:wrap="notBeside" w:vAnchor="margin" w:hAnchor="margin" w:x="16416" w:y="2439"/>
        <w:autoSpaceDE w:val="0"/>
        <w:autoSpaceDN w:val="0"/>
        <w:adjustRightInd w:val="0"/>
        <w:snapToGrid w:val="0"/>
        <w:spacing w:line="580" w:lineRule="exact"/>
        <w:rPr>
          <w:rFonts w:ascii="宋体" w:hAnsi="宋体" w:eastAsia="宋体" w:cs="宋体"/>
          <w:color w:val="auto"/>
          <w:sz w:val="22"/>
          <w:szCs w:val="22"/>
          <w:highlight w:val="none"/>
        </w:rPr>
      </w:pPr>
      <w:r>
        <w:rPr>
          <w:rFonts w:ascii="宋体" w:hAnsi="宋体" w:eastAsia="宋体" w:cs="宋体"/>
          <w:color w:val="auto"/>
          <w:spacing w:val="26"/>
          <w:kern w:val="0"/>
          <w:sz w:val="22"/>
          <w:szCs w:val="22"/>
          <w:highlight w:val="none"/>
        </w:rPr>
        <w:t>GF</w:t>
      </w:r>
      <w:r>
        <w:rPr>
          <w:rFonts w:hint="eastAsia" w:ascii="宋体" w:hAnsi="宋体" w:eastAsia="宋体" w:cs="宋体"/>
          <w:color w:val="auto"/>
          <w:spacing w:val="26"/>
          <w:kern w:val="0"/>
          <w:sz w:val="22"/>
          <w:szCs w:val="22"/>
          <w:highlight w:val="none"/>
        </w:rPr>
        <w:t>一</w:t>
      </w:r>
      <w:r>
        <w:rPr>
          <w:rFonts w:ascii="宋体" w:hAnsi="宋体" w:eastAsia="宋体" w:cs="宋体"/>
          <w:color w:val="auto"/>
          <w:spacing w:val="26"/>
          <w:kern w:val="0"/>
          <w:sz w:val="22"/>
          <w:szCs w:val="22"/>
          <w:highlight w:val="none"/>
        </w:rPr>
        <w:t>2008</w:t>
      </w:r>
      <w:r>
        <w:rPr>
          <w:rFonts w:hint="eastAsia" w:ascii="宋体" w:hAnsi="宋体" w:eastAsia="宋体" w:cs="宋体"/>
          <w:color w:val="auto"/>
          <w:spacing w:val="26"/>
          <w:kern w:val="0"/>
          <w:sz w:val="22"/>
          <w:szCs w:val="22"/>
          <w:highlight w:val="none"/>
        </w:rPr>
        <w:t>—</w:t>
      </w:r>
      <w:r>
        <w:rPr>
          <w:rFonts w:ascii="宋体" w:hAnsi="宋体" w:eastAsia="宋体" w:cs="宋体"/>
          <w:color w:val="auto"/>
          <w:spacing w:val="26"/>
          <w:kern w:val="0"/>
          <w:sz w:val="22"/>
          <w:szCs w:val="22"/>
          <w:highlight w:val="none"/>
        </w:rPr>
        <w:t>2601</w:t>
      </w:r>
    </w:p>
    <w:p w14:paraId="0E0A4ABA">
      <w:pPr>
        <w:framePr w:w="7353" w:h="504" w:hSpace="180" w:vSpace="180" w:wrap="notBeside" w:vAnchor="margin" w:hAnchor="margin" w:x="17587" w:y="4613"/>
        <w:autoSpaceDE w:val="0"/>
        <w:autoSpaceDN w:val="0"/>
        <w:adjustRightInd w:val="0"/>
        <w:snapToGrid w:val="0"/>
        <w:spacing w:line="580" w:lineRule="exact"/>
        <w:rPr>
          <w:rFonts w:ascii="宋体" w:hAnsi="宋体" w:eastAsia="宋体" w:cs="宋体"/>
          <w:color w:val="auto"/>
          <w:sz w:val="48"/>
          <w:szCs w:val="48"/>
          <w:highlight w:val="none"/>
        </w:rPr>
      </w:pPr>
      <w:r>
        <w:rPr>
          <w:rFonts w:hint="eastAsia" w:ascii="宋体" w:hAnsi="宋体" w:eastAsia="宋体" w:cs="宋体"/>
          <w:color w:val="auto"/>
          <w:kern w:val="0"/>
          <w:sz w:val="48"/>
          <w:szCs w:val="48"/>
          <w:highlight w:val="none"/>
        </w:rPr>
        <w:t>国有建设用地使用权出让合同</w:t>
      </w:r>
    </w:p>
    <w:p w14:paraId="13C02428">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613674E1">
      <w:pPr>
        <w:framePr w:w="6201" w:h="307" w:hSpace="180" w:vSpace="180" w:wrap="notBeside" w:vAnchor="margin" w:hAnchor="margin" w:x="17481" w:y="15096"/>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14"/>
          <w:kern w:val="0"/>
          <w:sz w:val="28"/>
          <w:szCs w:val="28"/>
          <w:highlight w:val="none"/>
        </w:rPr>
        <w:t>中华人民共和国国家工商行政管理总局</w:t>
      </w:r>
    </w:p>
    <w:p w14:paraId="078D277C">
      <w:pPr>
        <w:framePr w:w="952" w:h="288" w:hSpace="180" w:vSpace="180" w:wrap="notBeside" w:vAnchor="margin" w:hAnchor="margin" w:x="23131" w:y="14861"/>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9"/>
          <w:kern w:val="0"/>
          <w:sz w:val="28"/>
          <w:szCs w:val="28"/>
          <w:highlight w:val="none"/>
        </w:rPr>
        <w:t>制定</w:t>
      </w:r>
    </w:p>
    <w:p w14:paraId="1F4E84BA">
      <w:pPr>
        <w:framePr w:w="6196" w:h="307" w:hSpace="180" w:vSpace="180" w:wrap="notBeside" w:vAnchor="margin" w:hAnchor="margin" w:x="17477" w:y="14597"/>
        <w:autoSpaceDE w:val="0"/>
        <w:autoSpaceDN w:val="0"/>
        <w:adjustRightInd w:val="0"/>
        <w:snapToGrid w:val="0"/>
        <w:spacing w:line="580" w:lineRule="exact"/>
        <w:rPr>
          <w:rFonts w:ascii="宋体" w:hAnsi="宋体" w:eastAsia="宋体" w:cs="黑体"/>
          <w:color w:val="auto"/>
          <w:sz w:val="28"/>
          <w:szCs w:val="28"/>
          <w:highlight w:val="none"/>
        </w:rPr>
      </w:pPr>
      <w:r>
        <w:rPr>
          <w:rFonts w:hint="eastAsia" w:ascii="宋体" w:hAnsi="宋体" w:eastAsia="宋体" w:cs="黑体"/>
          <w:color w:val="auto"/>
          <w:spacing w:val="83"/>
          <w:kern w:val="0"/>
          <w:sz w:val="28"/>
          <w:szCs w:val="28"/>
          <w:highlight w:val="none"/>
        </w:rPr>
        <w:t>中华人民共和国国土资源部</w:t>
      </w:r>
    </w:p>
    <w:p w14:paraId="7D55A415">
      <w:pPr>
        <w:autoSpaceDE w:val="0"/>
        <w:autoSpaceDN w:val="0"/>
        <w:adjustRightInd w:val="0"/>
        <w:snapToGrid w:val="0"/>
        <w:spacing w:line="540" w:lineRule="exact"/>
        <w:ind w:right="1982" w:rightChars="944" w:firstLine="1560" w:firstLineChars="368"/>
        <w:jc w:val="distribute"/>
        <w:rPr>
          <w:rFonts w:hint="eastAsia" w:ascii="宋体" w:hAnsi="宋体" w:eastAsia="宋体" w:cs="黑体"/>
          <w:color w:val="auto"/>
          <w:spacing w:val="52"/>
          <w:kern w:val="0"/>
          <w:position w:val="16"/>
          <w:sz w:val="32"/>
          <w:szCs w:val="32"/>
          <w:highlight w:val="none"/>
        </w:rPr>
      </w:pPr>
      <w:r>
        <w:rPr>
          <w:rFonts w:hint="eastAsia" w:ascii="宋体" w:hAnsi="宋体" w:eastAsia="宋体" w:cs="黑体"/>
          <w:color w:val="auto"/>
          <w:spacing w:val="52"/>
          <w:kern w:val="0"/>
          <w:position w:val="16"/>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4252595</wp:posOffset>
                </wp:positionH>
                <wp:positionV relativeFrom="paragraph">
                  <wp:posOffset>6350</wp:posOffset>
                </wp:positionV>
                <wp:extent cx="622935" cy="695325"/>
                <wp:effectExtent l="4445" t="4445" r="20320" b="5080"/>
                <wp:wrapNone/>
                <wp:docPr id="42" name="文本框 42"/>
                <wp:cNvGraphicFramePr/>
                <a:graphic xmlns:a="http://schemas.openxmlformats.org/drawingml/2006/main">
                  <a:graphicData uri="http://schemas.microsoft.com/office/word/2010/wordprocessingShape">
                    <wps:wsp>
                      <wps:cNvSpPr txBox="1"/>
                      <wps:spPr>
                        <a:xfrm>
                          <a:off x="0" y="0"/>
                          <a:ext cx="622935" cy="69532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wps:txbx>
                      <wps:bodyPr wrap="square" lIns="18000" tIns="45720" rIns="91440" bIns="45720" upright="1">
                        <a:spAutoFit/>
                      </wps:bodyPr>
                    </wps:wsp>
                  </a:graphicData>
                </a:graphic>
              </wp:anchor>
            </w:drawing>
          </mc:Choice>
          <mc:Fallback>
            <w:pict>
              <v:shape id="_x0000_s1026" o:spid="_x0000_s1026" o:spt="202" type="#_x0000_t202" style="position:absolute;left:0pt;margin-left:334.85pt;margin-top:0.5pt;height:54.75pt;width:49.05pt;z-index:251664384;mso-width-relative:page;mso-height-relative:page;" fillcolor="#FFFFFF" filled="t" stroked="t" coordsize="21600,21600" o:gfxdata="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b/IejWAAAACQEAAA8AAAAAAAAAAQAgAAAAIgAAAGRycy9k&#10;b3ducmV2LnhtbFBLAQIUABQAAAAIAIdO4kC1Y7bPPQIAAKEEAAAOAAAAAAAAAAEAIAAAACUBAABk&#10;cnMvZTJvRG9jLnhtbFBLBQYAAAAABgAGAFkBAADUBQAAAAA=&#10;">
                <v:fill on="t" focussize="0,0"/>
                <v:stroke color="#FFFFFF" joinstyle="miter"/>
                <v:imagedata o:title=""/>
                <o:lock v:ext="edit" aspectratio="f"/>
                <v:textbox inset="0.5mm,1.27mm,2.54mm,1.27mm" style="mso-fit-shape-to-text:t;">
                  <w:txbxContent>
                    <w:p w14:paraId="524A5D21">
                      <w:pPr>
                        <w:rPr>
                          <w:rFonts w:hint="eastAsia" w:ascii="汉仪大黑简" w:eastAsia="汉仪大黑简"/>
                          <w:sz w:val="32"/>
                          <w:szCs w:val="32"/>
                        </w:rPr>
                      </w:pPr>
                      <w:r>
                        <w:rPr>
                          <w:rFonts w:hint="eastAsia" w:ascii="汉仪大黑简" w:eastAsia="汉仪大黑简"/>
                          <w:sz w:val="32"/>
                          <w:szCs w:val="32"/>
                        </w:rPr>
                        <w:t>制定</w:t>
                      </w:r>
                    </w:p>
                    <w:p w14:paraId="5545EC09"/>
                  </w:txbxContent>
                </v:textbox>
              </v:shape>
            </w:pict>
          </mc:Fallback>
        </mc:AlternateContent>
      </w:r>
      <w:r>
        <w:rPr>
          <w:rFonts w:hint="eastAsia" w:ascii="宋体" w:hAnsi="宋体" w:eastAsia="宋体" w:cs="黑体"/>
          <w:color w:val="auto"/>
          <w:spacing w:val="52"/>
          <w:kern w:val="0"/>
          <w:position w:val="16"/>
          <w:sz w:val="32"/>
          <w:szCs w:val="32"/>
          <w:highlight w:val="none"/>
        </w:rPr>
        <w:t xml:space="preserve">中华人民共和国自然资源部 </w:t>
      </w:r>
    </w:p>
    <w:p w14:paraId="0D86C21C">
      <w:pPr>
        <w:autoSpaceDE w:val="0"/>
        <w:autoSpaceDN w:val="0"/>
        <w:adjustRightInd w:val="0"/>
        <w:snapToGrid w:val="0"/>
        <w:spacing w:line="540" w:lineRule="exact"/>
        <w:ind w:firstLine="1148" w:firstLineChars="368"/>
        <w:rPr>
          <w:rFonts w:hint="eastAsia" w:ascii="宋体" w:hAnsi="宋体" w:eastAsia="宋体" w:cs="黑体"/>
          <w:color w:val="auto"/>
          <w:spacing w:val="-4"/>
          <w:kern w:val="0"/>
          <w:position w:val="16"/>
          <w:sz w:val="32"/>
          <w:szCs w:val="32"/>
          <w:highlight w:val="none"/>
        </w:rPr>
      </w:pPr>
      <w:r>
        <w:rPr>
          <w:rFonts w:hint="eastAsia" w:ascii="宋体" w:hAnsi="宋体" w:eastAsia="宋体" w:cs="黑体"/>
          <w:color w:val="auto"/>
          <w:spacing w:val="-4"/>
          <w:kern w:val="0"/>
          <w:position w:val="16"/>
          <w:sz w:val="32"/>
          <w:szCs w:val="32"/>
          <w:highlight w:val="none"/>
        </w:rPr>
        <w:t>中华人民共和国国家市场监督管理总局</w:t>
      </w:r>
    </w:p>
    <w:p w14:paraId="05C712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07A53D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B75CCD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563AFB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3DF3BE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63EC57A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D8B7884">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BDF6806">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199B32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1D5D8B9">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9C046FB">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769C90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0C3027E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71BC07">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884E22A">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1D24CF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E50DA38">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E1A040F">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AB26E83">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51511BBD">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767E36F1">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7416D0">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1E300D62">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4690A51C">
      <w:pPr>
        <w:autoSpaceDE w:val="0"/>
        <w:autoSpaceDN w:val="0"/>
        <w:adjustRightInd w:val="0"/>
        <w:snapToGrid w:val="0"/>
        <w:spacing w:line="580" w:lineRule="exact"/>
        <w:ind w:firstLine="1177" w:firstLineChars="368"/>
        <w:rPr>
          <w:rFonts w:hint="eastAsia" w:ascii="宋体" w:hAnsi="宋体" w:eastAsia="宋体" w:cs="黑体"/>
          <w:color w:val="auto"/>
          <w:kern w:val="0"/>
          <w:sz w:val="32"/>
          <w:szCs w:val="32"/>
          <w:highlight w:val="none"/>
        </w:rPr>
      </w:pPr>
    </w:p>
    <w:p w14:paraId="26858812">
      <w:pPr>
        <w:widowControl/>
        <w:spacing w:line="580" w:lineRule="exact"/>
        <w:jc w:val="left"/>
        <w:rPr>
          <w:rFonts w:hint="eastAsia" w:ascii="仿宋_GB2312" w:hAnsi="宋体" w:eastAsia="仿宋_GB2312" w:cs="仿宋_GB2312"/>
          <w:color w:val="auto"/>
          <w:kern w:val="0"/>
          <w:sz w:val="32"/>
          <w:szCs w:val="32"/>
          <w:highlight w:val="none"/>
          <w:u w:val="single"/>
        </w:rPr>
      </w:pPr>
      <w:r>
        <w:rPr>
          <w:rFonts w:hint="eastAsia" w:ascii="宋体" w:hAnsi="宋体" w:eastAsia="宋体" w:cs="仿宋_GB2312"/>
          <w:color w:val="auto"/>
          <w:kern w:val="0"/>
          <w:sz w:val="32"/>
          <w:szCs w:val="32"/>
          <w:highlight w:val="none"/>
        </w:rPr>
        <w:t xml:space="preserve">合同编号: </w:t>
      </w:r>
      <w:r>
        <w:rPr>
          <w:rFonts w:hint="eastAsia" w:ascii="宋体" w:hAnsi="宋体" w:eastAsia="宋体" w:cs="仿宋_GB2312"/>
          <w:color w:val="auto"/>
          <w:kern w:val="0"/>
          <w:sz w:val="32"/>
          <w:szCs w:val="32"/>
          <w:highlight w:val="none"/>
          <w:u w:val="single"/>
        </w:rPr>
        <w:t>京规自出〔合〕字（</w:t>
      </w:r>
      <w:r>
        <w:rPr>
          <w:rFonts w:hint="eastAsia" w:ascii="宋体" w:hAnsi="宋体" w:eastAsia="宋体" w:cs="仿宋_GB2312"/>
          <w:color w:val="auto"/>
          <w:kern w:val="0"/>
          <w:sz w:val="32"/>
          <w:szCs w:val="32"/>
          <w:highlight w:val="none"/>
          <w:u w:val="single"/>
          <w:lang w:val="en-US" w:eastAsia="zh-CN"/>
        </w:rPr>
        <w:t>2026</w:t>
      </w:r>
      <w:r>
        <w:rPr>
          <w:rFonts w:hint="eastAsia" w:ascii="宋体" w:hAnsi="宋体" w:eastAsia="宋体" w:cs="仿宋_GB2312"/>
          <w:color w:val="auto"/>
          <w:kern w:val="0"/>
          <w:sz w:val="32"/>
          <w:szCs w:val="32"/>
          <w:highlight w:val="none"/>
          <w:u w:val="single"/>
        </w:rPr>
        <w:t xml:space="preserve">）第 </w:t>
      </w:r>
      <w:r>
        <w:rPr>
          <w:rFonts w:hint="eastAsia" w:ascii="宋体" w:hAnsi="宋体" w:eastAsia="宋体" w:cs="仿宋_GB2312"/>
          <w:color w:val="auto"/>
          <w:kern w:val="0"/>
          <w:sz w:val="32"/>
          <w:szCs w:val="32"/>
          <w:highlight w:val="none"/>
          <w:u w:val="single"/>
          <w:lang w:val="en-US" w:eastAsia="zh-CN"/>
        </w:rPr>
        <w:t xml:space="preserve"> </w:t>
      </w:r>
      <w:r>
        <w:rPr>
          <w:rFonts w:hint="eastAsia" w:ascii="宋体" w:hAnsi="宋体" w:eastAsia="宋体" w:cs="仿宋_GB2312"/>
          <w:color w:val="auto"/>
          <w:kern w:val="0"/>
          <w:sz w:val="32"/>
          <w:szCs w:val="32"/>
          <w:highlight w:val="none"/>
          <w:u w:val="single"/>
        </w:rPr>
        <w:t xml:space="preserve">   号</w:t>
      </w:r>
    </w:p>
    <w:p w14:paraId="6423CE2A">
      <w:pPr>
        <w:widowControl/>
        <w:spacing w:line="580" w:lineRule="exact"/>
        <w:jc w:val="left"/>
        <w:rPr>
          <w:rFonts w:hint="eastAsia" w:ascii="仿宋_GB2312" w:hAnsi="宋体" w:eastAsia="仿宋_GB2312" w:cs="仿宋_GB2312"/>
          <w:color w:val="auto"/>
          <w:kern w:val="0"/>
          <w:sz w:val="32"/>
          <w:szCs w:val="32"/>
          <w:highlight w:val="none"/>
          <w:u w:val="single"/>
        </w:rPr>
      </w:pPr>
    </w:p>
    <w:p w14:paraId="531F5095">
      <w:pPr>
        <w:autoSpaceDE w:val="0"/>
        <w:autoSpaceDN w:val="0"/>
        <w:adjustRightInd w:val="0"/>
        <w:snapToGrid w:val="0"/>
        <w:spacing w:line="580" w:lineRule="exact"/>
        <w:jc w:val="center"/>
        <w:rPr>
          <w:rFonts w:hint="eastAsia" w:ascii="仿宋_GB2312" w:hAnsi="宋体" w:eastAsia="仿宋_GB2312" w:cs="仿宋_GB2312"/>
          <w:b/>
          <w:bCs/>
          <w:color w:val="auto"/>
          <w:kern w:val="0"/>
          <w:sz w:val="44"/>
          <w:szCs w:val="44"/>
          <w:highlight w:val="none"/>
        </w:rPr>
      </w:pPr>
      <w:r>
        <w:rPr>
          <w:rFonts w:hint="eastAsia" w:ascii="仿宋_GB2312" w:hAnsi="宋体" w:eastAsia="仿宋_GB2312" w:cs="仿宋_GB2312"/>
          <w:b/>
          <w:bCs/>
          <w:color w:val="auto"/>
          <w:kern w:val="0"/>
          <w:sz w:val="44"/>
          <w:szCs w:val="44"/>
          <w:highlight w:val="none"/>
        </w:rPr>
        <w:t>国有建设用地使用权出让合同</w:t>
      </w:r>
    </w:p>
    <w:p w14:paraId="58C90C51">
      <w:pPr>
        <w:spacing w:line="580" w:lineRule="exact"/>
        <w:rPr>
          <w:rFonts w:hint="eastAsia" w:ascii="仿宋_GB2312" w:hAnsi="宋体" w:eastAsia="仿宋_GB2312" w:cs="仿宋_GB2312"/>
          <w:color w:val="auto"/>
          <w:kern w:val="0"/>
          <w:sz w:val="32"/>
          <w:szCs w:val="32"/>
          <w:highlight w:val="none"/>
        </w:rPr>
      </w:pPr>
    </w:p>
    <w:p w14:paraId="491437D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本合同双方当事人：</w:t>
      </w:r>
    </w:p>
    <w:p w14:paraId="003A787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出 让 人：</w:t>
      </w:r>
      <w:r>
        <w:rPr>
          <w:rFonts w:hint="eastAsia" w:ascii="仿宋_GB2312" w:hAnsi="宋体" w:eastAsia="仿宋_GB2312" w:cs="仿宋_GB2312"/>
          <w:color w:val="auto"/>
          <w:kern w:val="0"/>
          <w:sz w:val="32"/>
          <w:szCs w:val="32"/>
          <w:highlight w:val="none"/>
          <w:u w:val="single"/>
        </w:rPr>
        <w:t xml:space="preserve">北京市规划和自然资源委员会                </w:t>
      </w:r>
    </w:p>
    <w:p w14:paraId="001F8FA2">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通讯地址：</w:t>
      </w:r>
      <w:r>
        <w:rPr>
          <w:rFonts w:hint="eastAsia" w:ascii="仿宋_GB2312" w:hAnsi="宋体" w:eastAsia="仿宋_GB2312" w:cs="仿宋_GB2312"/>
          <w:color w:val="auto"/>
          <w:kern w:val="0"/>
          <w:sz w:val="32"/>
          <w:szCs w:val="32"/>
          <w:highlight w:val="none"/>
          <w:u w:val="single"/>
        </w:rPr>
        <w:t xml:space="preserve">北京市通州区承安路1号                    </w:t>
      </w:r>
    </w:p>
    <w:p w14:paraId="243787F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color w:val="auto"/>
          <w:kern w:val="0"/>
          <w:sz w:val="32"/>
          <w:szCs w:val="32"/>
          <w:highlight w:val="none"/>
          <w:u w:val="single"/>
        </w:rPr>
        <w:t xml:space="preserve">101160                                    </w:t>
      </w:r>
    </w:p>
    <w:p w14:paraId="5F6ECCAC">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color w:val="auto"/>
          <w:kern w:val="0"/>
          <w:sz w:val="32"/>
          <w:szCs w:val="32"/>
          <w:highlight w:val="none"/>
          <w:u w:val="single"/>
        </w:rPr>
        <w:t xml:space="preserve">55594029                                  </w:t>
      </w:r>
    </w:p>
    <w:p w14:paraId="794E118E">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color w:val="auto"/>
          <w:kern w:val="0"/>
          <w:sz w:val="32"/>
          <w:szCs w:val="32"/>
          <w:highlight w:val="none"/>
          <w:u w:val="single"/>
        </w:rPr>
        <w:t xml:space="preserve">55595859                                  </w:t>
      </w:r>
    </w:p>
    <w:p w14:paraId="4894A8B7">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54F6C55">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F1CC300">
      <w:pPr>
        <w:spacing w:line="560" w:lineRule="exact"/>
        <w:ind w:left="1600" w:hanging="1600" w:hangingChars="500"/>
        <w:jc w:val="left"/>
        <w:rPr>
          <w:rFonts w:hint="eastAsia" w:ascii="仿宋_GB2312" w:hAnsi="宋体" w:eastAsia="仿宋_GB2312" w:cs="仿宋_GB2312"/>
          <w:kern w:val="0"/>
          <w:sz w:val="32"/>
          <w:szCs w:val="32"/>
          <w:highlight w:val="none"/>
          <w:u w:val="single"/>
        </w:rPr>
      </w:pPr>
      <w:r>
        <w:rPr>
          <w:rFonts w:hint="eastAsia" w:ascii="仿宋_GB2312" w:hAnsi="宋体" w:eastAsia="仿宋_GB2312" w:cs="仿宋_GB2312"/>
          <w:kern w:val="0"/>
          <w:sz w:val="32"/>
          <w:szCs w:val="32"/>
          <w:highlight w:val="none"/>
        </w:rPr>
        <w:t>受 让 人：</w:t>
      </w:r>
      <w:r>
        <w:rPr>
          <w:rFonts w:hint="eastAsia" w:ascii="仿宋_GB2312" w:hAnsi="宋体" w:eastAsia="仿宋_GB2312" w:cs="仿宋_GB2312"/>
          <w:kern w:val="0"/>
          <w:sz w:val="32"/>
          <w:szCs w:val="32"/>
          <w:highlight w:val="none"/>
          <w:u w:val="single"/>
          <w:lang w:val="en-US" w:eastAsia="zh-CN"/>
        </w:rPr>
        <w:t xml:space="preserve">                                   </w:t>
      </w:r>
      <w:r>
        <w:rPr>
          <w:rFonts w:hint="eastAsia" w:ascii="仿宋_GB2312" w:hAnsi="宋体" w:eastAsia="仿宋_GB2312" w:cs="仿宋_GB2312"/>
          <w:kern w:val="0"/>
          <w:sz w:val="32"/>
          <w:szCs w:val="32"/>
          <w:highlight w:val="none"/>
          <w:u w:val="single"/>
        </w:rPr>
        <w:t xml:space="preserve">       </w:t>
      </w:r>
    </w:p>
    <w:p w14:paraId="467BAFAB">
      <w:pPr>
        <w:spacing w:line="560" w:lineRule="exact"/>
        <w:rPr>
          <w:rFonts w:hint="eastAsia" w:ascii="仿宋_GB2312" w:hAnsi="宋体" w:eastAsia="仿宋_GB2312" w:cs="仿宋_GB2312"/>
          <w:spacing w:val="-11"/>
          <w:kern w:val="0"/>
          <w:sz w:val="32"/>
          <w:szCs w:val="32"/>
          <w:highlight w:val="none"/>
          <w:u w:val="single"/>
          <w:lang w:val="en-US" w:eastAsia="zh-CN"/>
        </w:rPr>
      </w:pPr>
      <w:r>
        <w:rPr>
          <w:rFonts w:hint="eastAsia" w:ascii="仿宋_GB2312" w:hAnsi="宋体" w:eastAsia="仿宋_GB2312" w:cs="仿宋_GB2312"/>
          <w:kern w:val="0"/>
          <w:sz w:val="32"/>
          <w:szCs w:val="32"/>
          <w:highlight w:val="none"/>
        </w:rPr>
        <w:t>通讯地址：</w:t>
      </w:r>
      <w:r>
        <w:rPr>
          <w:rFonts w:hint="eastAsia" w:ascii="仿宋_GB2312" w:hAnsi="宋体" w:eastAsia="仿宋_GB2312" w:cs="仿宋_GB2312"/>
          <w:spacing w:val="-11"/>
          <w:kern w:val="0"/>
          <w:sz w:val="32"/>
          <w:szCs w:val="32"/>
          <w:highlight w:val="none"/>
          <w:u w:val="single"/>
          <w:lang w:val="en-US" w:eastAsia="zh-CN"/>
        </w:rPr>
        <w:t xml:space="preserve">                                                 </w:t>
      </w:r>
    </w:p>
    <w:p w14:paraId="6731D5BE">
      <w:pPr>
        <w:spacing w:line="560" w:lineRule="exact"/>
        <w:jc w:val="left"/>
        <w:rPr>
          <w:rFonts w:hint="eastAsia" w:ascii="仿宋_GB2312" w:hAnsi="宋体" w:eastAsia="仿宋_GB2312" w:cs="仿宋_GB2312"/>
          <w:color w:val="auto"/>
          <w:kern w:val="0"/>
          <w:sz w:val="32"/>
          <w:szCs w:val="32"/>
          <w:highlight w:val="none"/>
          <w:u w:val="single"/>
        </w:rPr>
      </w:pPr>
      <w:r>
        <w:rPr>
          <w:rFonts w:hint="eastAsia" w:ascii="仿宋_GB2312" w:hAnsi="宋体" w:eastAsia="仿宋_GB2312" w:cs="仿宋_GB2312"/>
          <w:color w:val="auto"/>
          <w:kern w:val="0"/>
          <w:sz w:val="32"/>
          <w:szCs w:val="32"/>
          <w:highlight w:val="none"/>
        </w:rPr>
        <w:t>邮政编码：</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15A5F426">
      <w:pPr>
        <w:spacing w:line="560" w:lineRule="exact"/>
        <w:jc w:val="left"/>
        <w:rPr>
          <w:rFonts w:hint="eastAsia" w:eastAsia="仿宋_GB2312"/>
          <w:color w:val="auto"/>
          <w:highlight w:val="none"/>
        </w:rPr>
      </w:pPr>
      <w:r>
        <w:rPr>
          <w:rFonts w:hint="eastAsia" w:ascii="仿宋_GB2312" w:hAnsi="宋体" w:eastAsia="仿宋_GB2312" w:cs="仿宋_GB2312"/>
          <w:color w:val="auto"/>
          <w:kern w:val="0"/>
          <w:sz w:val="32"/>
          <w:szCs w:val="32"/>
          <w:highlight w:val="none"/>
        </w:rPr>
        <w:t>电    话：</w:t>
      </w:r>
      <w:r>
        <w:rPr>
          <w:rFonts w:hint="eastAsia" w:ascii="仿宋_GB2312" w:hAnsi="宋体" w:eastAsia="仿宋_GB2312" w:cs="仿宋_GB2312"/>
          <w:strike/>
          <w:dstrike w:val="0"/>
          <w:color w:val="auto"/>
          <w:kern w:val="0"/>
          <w:sz w:val="32"/>
          <w:szCs w:val="32"/>
          <w:highlight w:val="none"/>
          <w:u w:val="single"/>
          <w:lang w:val="en-US" w:eastAsia="zh-CN"/>
        </w:rPr>
        <w:t xml:space="preserve">   </w:t>
      </w:r>
      <w:r>
        <w:rPr>
          <w:rFonts w:hint="eastAsia" w:ascii="仿宋_GB2312" w:hAnsi="宋体" w:eastAsia="仿宋_GB2312" w:cs="仿宋_GB2312"/>
          <w:strike/>
          <w:dstrike w:val="0"/>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r>
        <w:rPr>
          <w:rFonts w:hint="eastAsia" w:ascii="仿宋_GB2312" w:hAnsi="宋体" w:eastAsia="仿宋_GB2312" w:cs="仿宋_GB2312"/>
          <w:color w:val="auto"/>
          <w:kern w:val="0"/>
          <w:sz w:val="32"/>
          <w:szCs w:val="32"/>
          <w:highlight w:val="none"/>
          <w:u w:val="single"/>
        </w:rPr>
        <w:t xml:space="preserve">                              </w:t>
      </w:r>
    </w:p>
    <w:p w14:paraId="548F062A">
      <w:pPr>
        <w:spacing w:line="56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传    真：</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18E3B9D2">
      <w:pPr>
        <w:spacing w:line="560" w:lineRule="exact"/>
        <w:ind w:left="1600" w:hanging="1600" w:hangingChars="500"/>
        <w:jc w:val="left"/>
        <w:rPr>
          <w:rFonts w:ascii="仿宋_GB2312" w:hAnsi="宋体" w:eastAsia="仿宋_GB2312" w:cs="仿宋_GB2312"/>
          <w:strike/>
          <w:color w:val="auto"/>
          <w:kern w:val="0"/>
          <w:sz w:val="32"/>
          <w:szCs w:val="32"/>
          <w:highlight w:val="none"/>
          <w:u w:val="single"/>
        </w:rPr>
      </w:pPr>
      <w:r>
        <w:rPr>
          <w:rFonts w:hint="eastAsia" w:ascii="仿宋_GB2312" w:hAnsi="宋体" w:eastAsia="仿宋_GB2312" w:cs="仿宋_GB2312"/>
          <w:color w:val="auto"/>
          <w:kern w:val="0"/>
          <w:sz w:val="32"/>
          <w:szCs w:val="32"/>
          <w:highlight w:val="none"/>
        </w:rPr>
        <w:t>开户银行：</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p>
    <w:p w14:paraId="096E47D0">
      <w:pPr>
        <w:spacing w:line="560" w:lineRule="exact"/>
        <w:jc w:val="lef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w:t>账    号：</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strike/>
          <w:color w:val="auto"/>
          <w:kern w:val="0"/>
          <w:sz w:val="32"/>
          <w:szCs w:val="32"/>
          <w:highlight w:val="none"/>
          <w:u w:val="single"/>
          <w:lang w:val="en-US" w:eastAsia="zh-CN"/>
        </w:rPr>
        <w:t xml:space="preserve"> </w:t>
      </w:r>
      <w:r>
        <w:rPr>
          <w:rFonts w:hint="eastAsia" w:ascii="仿宋_GB2312" w:hAnsi="宋体" w:eastAsia="仿宋_GB2312" w:cs="仿宋_GB2312"/>
          <w:strike/>
          <w:color w:val="auto"/>
          <w:kern w:val="0"/>
          <w:sz w:val="32"/>
          <w:szCs w:val="32"/>
          <w:highlight w:val="none"/>
          <w:u w:val="single"/>
        </w:rPr>
        <w:t xml:space="preserve">                            </w:t>
      </w:r>
      <w:r>
        <w:rPr>
          <w:rFonts w:hint="eastAsia" w:ascii="仿宋_GB2312" w:hAnsi="宋体" w:eastAsia="仿宋_GB2312" w:cs="仿宋_GB2312"/>
          <w:color w:val="auto"/>
          <w:kern w:val="0"/>
          <w:sz w:val="32"/>
          <w:szCs w:val="32"/>
          <w:highlight w:val="none"/>
        </w:rPr>
        <w:t xml:space="preserve">          </w:t>
      </w:r>
    </w:p>
    <w:p w14:paraId="693ADEB5">
      <w:pPr>
        <w:spacing w:line="560" w:lineRule="exact"/>
        <w:jc w:val="center"/>
        <w:rPr>
          <w:rFonts w:hint="eastAsia" w:ascii="黑体" w:hAnsi="宋体" w:eastAsia="黑体" w:cs="仿宋_GB2312"/>
          <w:b/>
          <w:bCs/>
          <w:color w:val="auto"/>
          <w:kern w:val="0"/>
          <w:sz w:val="32"/>
          <w:szCs w:val="32"/>
          <w:highlight w:val="none"/>
        </w:rPr>
      </w:pPr>
      <w:r>
        <w:rPr>
          <w:rFonts w:hint="eastAsia" w:ascii="仿宋_GB2312" w:hAnsi="宋体" w:eastAsia="仿宋_GB2312" w:cs="仿宋_GB2312"/>
          <w:color w:val="auto"/>
          <w:kern w:val="0"/>
          <w:sz w:val="32"/>
          <w:szCs w:val="32"/>
          <w:highlight w:val="none"/>
        </w:rPr>
        <w:br w:type="page"/>
      </w:r>
      <w:r>
        <w:rPr>
          <w:rFonts w:hint="eastAsia" w:ascii="仿宋_GB2312" w:hAnsi="宋体" w:eastAsia="仿宋_GB2312" w:cs="仿宋_GB2312"/>
          <w:b w:val="0"/>
          <w:bCs w:val="0"/>
          <w:color w:val="auto"/>
          <w:kern w:val="0"/>
          <w:sz w:val="32"/>
          <w:szCs w:val="32"/>
          <w:highlight w:val="none"/>
        </w:rPr>
        <w:t xml:space="preserve"> </w:t>
      </w:r>
      <w:r>
        <w:rPr>
          <w:rFonts w:hint="eastAsia" w:ascii="黑体" w:hAnsi="宋体" w:eastAsia="黑体" w:cs="仿宋_GB2312"/>
          <w:b w:val="0"/>
          <w:bCs w:val="0"/>
          <w:color w:val="auto"/>
          <w:kern w:val="0"/>
          <w:sz w:val="32"/>
          <w:szCs w:val="32"/>
          <w:highlight w:val="none"/>
        </w:rPr>
        <w:t>第一章  总    则</w:t>
      </w:r>
    </w:p>
    <w:p w14:paraId="50A90370">
      <w:pPr>
        <w:pStyle w:val="4"/>
        <w:rPr>
          <w:rFonts w:hint="eastAsia"/>
          <w:color w:val="auto"/>
          <w:highlight w:val="none"/>
        </w:rPr>
      </w:pPr>
    </w:p>
    <w:p w14:paraId="3A85ACF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根据《中华人民共和国民法典》《中华人民共和国土地管理法》《中华人民共和国城市房地产管理法》《中华人民共和国城乡规划法》等法律、有关行政法规及土地供应政策规定，双方本着平等、自愿、公平、诚信、有偿的原则，订立本合同。</w:t>
      </w:r>
    </w:p>
    <w:p w14:paraId="6E8EA64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受让人对依法取得的国有建设用地使用权，在出让期限内享有占有、使用和收益的权利，有权利用该土地依法建造建筑物、构筑物及其附属设施。</w:t>
      </w:r>
    </w:p>
    <w:p w14:paraId="7C199687">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第三条 </w:t>
      </w:r>
      <w:r>
        <w:rPr>
          <w:rFonts w:hint="default" w:ascii="Times New Roman" w:hAnsi="Times New Roman" w:eastAsia="仿宋_GB2312" w:cs="Times New Roman"/>
          <w:color w:val="auto"/>
          <w:sz w:val="32"/>
          <w:szCs w:val="32"/>
          <w:highlight w:val="none"/>
        </w:rPr>
        <w:t xml:space="preserve"> 当事人应当按照约定行使权利、履行义务。当事人在履行合同过程中，应当避免浪费资源、污染环境和破坏生态，遵守法律、行政法规关于土地用途的规定，不得损害已设立的用益物权。出让人不得干涉受让人行使合法权利。</w:t>
      </w:r>
    </w:p>
    <w:p w14:paraId="40F6B920">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侵害依法设立的国有建设用地使用权，造成权利人损害的，权利人可以依法请求损害赔偿，也可以依法请求承担其他民事责任。</w:t>
      </w:r>
    </w:p>
    <w:p w14:paraId="7687D1B8">
      <w:pPr>
        <w:pStyle w:val="4"/>
        <w:rPr>
          <w:rFonts w:hint="eastAsia"/>
          <w:color w:val="auto"/>
          <w:highlight w:val="none"/>
        </w:rPr>
      </w:pPr>
    </w:p>
    <w:p w14:paraId="1A314DAA">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第二章  出让土地的交付与出让价款的缴纳</w:t>
      </w:r>
    </w:p>
    <w:p w14:paraId="3F68B5AC">
      <w:pPr>
        <w:pStyle w:val="4"/>
        <w:rPr>
          <w:rFonts w:hint="eastAsia"/>
          <w:color w:val="auto"/>
          <w:highlight w:val="none"/>
        </w:rPr>
      </w:pPr>
    </w:p>
    <w:p w14:paraId="57349118">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第四条</w:t>
      </w:r>
      <w:r>
        <w:rPr>
          <w:rFonts w:hint="default" w:ascii="Times New Roman" w:hAnsi="Times New Roman" w:eastAsia="仿宋_GB2312" w:cs="Times New Roman"/>
          <w:color w:val="auto"/>
          <w:sz w:val="32"/>
          <w:szCs w:val="32"/>
          <w:highlight w:val="none"/>
        </w:rPr>
        <w:t xml:space="preserve">  出让土地的所有权属</w:t>
      </w:r>
      <w:r>
        <w:rPr>
          <w:rFonts w:hint="eastAsia"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rPr>
        <w:t>中华人民共和国，出让人根据法律的授权出让国有建设用地使用权，地下资源、埋藏物不属于国有建设用地使用权出让范围。</w:t>
      </w:r>
    </w:p>
    <w:p w14:paraId="1BC5AC3A">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第五条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kern w:val="2"/>
          <w:sz w:val="32"/>
          <w:szCs w:val="32"/>
          <w:highlight w:val="none"/>
        </w:rPr>
        <w:t>本合同项下出让宗地</w:t>
      </w:r>
      <w:r>
        <w:rPr>
          <w:rFonts w:hint="default" w:ascii="Times New Roman" w:hAnsi="Times New Roman" w:eastAsia="仿宋_GB2312" w:cs="Times New Roman"/>
          <w:color w:val="auto"/>
          <w:kern w:val="2"/>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不动产单元代码</w:t>
      </w:r>
      <w:r>
        <w:rPr>
          <w:rFonts w:hint="default" w:ascii="Times New Roman" w:hAnsi="Times New Roman" w:eastAsia="仿宋_GB2312" w:cs="Times New Roman"/>
          <w:color w:val="auto"/>
          <w:kern w:val="2"/>
          <w:sz w:val="32"/>
          <w:szCs w:val="32"/>
          <w:highlight w:val="none"/>
        </w:rPr>
        <w:t>为</w:t>
      </w:r>
      <w:r>
        <w:rPr>
          <w:rFonts w:hint="default" w:ascii="Times New Roman" w:hAnsi="Times New Roman" w:eastAsia="仿宋_GB2312" w:cs="Times New Roman"/>
          <w:color w:val="auto"/>
          <w:kern w:val="2"/>
          <w:sz w:val="32"/>
          <w:szCs w:val="32"/>
          <w:highlight w:val="none"/>
          <w:u w:val="single"/>
          <w:lang w:val="en-US" w:eastAsia="zh-CN"/>
        </w:rPr>
        <w:t>110113003002GB01196W00000000</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宗地总面积</w:t>
      </w:r>
      <w:r>
        <w:rPr>
          <w:rFonts w:hint="eastAsia"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大写</w:t>
      </w:r>
      <w:r>
        <w:rPr>
          <w:rFonts w:hint="eastAsia" w:ascii="Times New Roman" w:hAnsi="Times New Roman" w:eastAsia="仿宋_GB2312" w:cs="Times New Roman"/>
          <w:color w:val="auto"/>
          <w:sz w:val="32"/>
          <w:szCs w:val="32"/>
          <w:highlight w:val="none"/>
          <w:u w:val="single"/>
          <w:lang w:val="en-US" w:eastAsia="zh-CN"/>
        </w:rPr>
        <w:t>壹万伍仟陆佰柒拾壹点壹肆</w:t>
      </w:r>
      <w:r>
        <w:rPr>
          <w:rFonts w:hint="default" w:ascii="Times New Roman" w:hAnsi="Times New Roman" w:eastAsia="仿宋_GB2312" w:cs="Times New Roman"/>
          <w:color w:val="auto"/>
          <w:sz w:val="32"/>
          <w:szCs w:val="32"/>
          <w:highlight w:val="none"/>
        </w:rPr>
        <w:t>平方米（小写</w:t>
      </w:r>
      <w:r>
        <w:rPr>
          <w:rFonts w:hint="eastAsia" w:ascii="Times New Roman" w:hAnsi="Times New Roman" w:eastAsia="仿宋_GB2312" w:cs="Times New Roman"/>
          <w:color w:val="auto"/>
          <w:sz w:val="32"/>
          <w:szCs w:val="32"/>
          <w:highlight w:val="none"/>
          <w:u w:val="single"/>
          <w:lang w:val="en-US" w:eastAsia="zh-CN"/>
        </w:rPr>
        <w:t>15671.14</w:t>
      </w:r>
      <w:r>
        <w:rPr>
          <w:rFonts w:hint="default" w:ascii="Times New Roman" w:hAnsi="Times New Roman" w:eastAsia="仿宋_GB2312" w:cs="Times New Roman"/>
          <w:color w:val="auto"/>
          <w:sz w:val="32"/>
          <w:szCs w:val="32"/>
          <w:highlight w:val="none"/>
        </w:rPr>
        <w:t>平方米），其中出让宗地面积为大写</w:t>
      </w:r>
      <w:r>
        <w:rPr>
          <w:rFonts w:hint="eastAsia" w:ascii="Times New Roman" w:hAnsi="Times New Roman" w:eastAsia="仿宋_GB2312" w:cs="Times New Roman"/>
          <w:color w:val="auto"/>
          <w:sz w:val="32"/>
          <w:szCs w:val="32"/>
          <w:highlight w:val="none"/>
          <w:u w:val="single"/>
          <w:lang w:val="en-US" w:eastAsia="zh-CN"/>
        </w:rPr>
        <w:t>壹万伍仟陆佰柒拾壹点壹肆</w:t>
      </w:r>
      <w:r>
        <w:rPr>
          <w:rFonts w:hint="default" w:ascii="Times New Roman" w:hAnsi="Times New Roman" w:eastAsia="仿宋_GB2312" w:cs="Times New Roman"/>
          <w:color w:val="auto"/>
          <w:sz w:val="32"/>
          <w:szCs w:val="32"/>
          <w:highlight w:val="none"/>
        </w:rPr>
        <w:t>平方米（小写</w:t>
      </w:r>
      <w:r>
        <w:rPr>
          <w:rFonts w:hint="eastAsia" w:ascii="Times New Roman" w:hAnsi="Times New Roman" w:eastAsia="仿宋_GB2312" w:cs="Times New Roman"/>
          <w:color w:val="auto"/>
          <w:sz w:val="32"/>
          <w:szCs w:val="32"/>
          <w:highlight w:val="none"/>
          <w:u w:val="single"/>
          <w:lang w:val="en-US" w:eastAsia="zh-CN"/>
        </w:rPr>
        <w:t>15671.14</w:t>
      </w:r>
      <w:r>
        <w:rPr>
          <w:rFonts w:hint="default" w:ascii="Times New Roman" w:hAnsi="Times New Roman" w:eastAsia="仿宋_GB2312" w:cs="Times New Roman"/>
          <w:color w:val="auto"/>
          <w:sz w:val="32"/>
          <w:szCs w:val="32"/>
          <w:highlight w:val="none"/>
        </w:rPr>
        <w:t>平方米）</w:t>
      </w:r>
      <w:r>
        <w:rPr>
          <w:rFonts w:hint="default" w:ascii="Times New Roman" w:hAnsi="Times New Roman" w:eastAsia="仿宋_GB2312" w:cs="Times New Roman"/>
          <w:color w:val="auto"/>
          <w:sz w:val="32"/>
          <w:szCs w:val="32"/>
          <w:highlight w:val="none"/>
        </w:rPr>
        <w:t>。</w:t>
      </w:r>
    </w:p>
    <w:p w14:paraId="0C38E7C6">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本合同项下的出让宗地坐落于</w:t>
      </w:r>
      <w:r>
        <w:rPr>
          <w:rFonts w:hint="default" w:ascii="Times New Roman" w:hAnsi="Times New Roman" w:eastAsia="仿宋_GB2312" w:cs="Times New Roman"/>
          <w:color w:val="auto"/>
          <w:sz w:val="32"/>
          <w:szCs w:val="32"/>
          <w:highlight w:val="none"/>
          <w:u w:val="single"/>
        </w:rPr>
        <w:t>顺义区仁和镇</w:t>
      </w:r>
      <w:r>
        <w:rPr>
          <w:rFonts w:hint="default" w:ascii="Times New Roman" w:hAnsi="Times New Roman" w:eastAsia="仿宋_GB2312" w:cs="Times New Roman"/>
          <w:color w:val="auto"/>
          <w:sz w:val="32"/>
          <w:szCs w:val="32"/>
          <w:highlight w:val="none"/>
        </w:rPr>
        <w:t>。</w:t>
      </w:r>
    </w:p>
    <w:p w14:paraId="6CBF7B88">
      <w:pPr>
        <w:spacing w:line="600" w:lineRule="exact"/>
        <w:ind w:firstLine="640" w:firstLineChars="200"/>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color w:val="auto"/>
          <w:sz w:val="32"/>
          <w:szCs w:val="32"/>
          <w:highlight w:val="none"/>
        </w:rPr>
        <w:t>本合同项下出让宗地的平面界址为</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《供地项目“多规合一”协同平台审核意见的函》（京规自（顺）供审函[2026]0002号）和《建设工程规划用地测量成果报告书》（2026规自（顺）测字0010号）</w:t>
      </w:r>
      <w:r>
        <w:rPr>
          <w:rFonts w:hint="eastAsia" w:ascii="仿宋_GB2312" w:hAnsi="宋体" w:eastAsia="仿宋_GB2312" w:cs="仿宋_GB2312"/>
          <w:kern w:val="0"/>
          <w:sz w:val="32"/>
          <w:szCs w:val="32"/>
          <w:highlight w:val="none"/>
          <w:u w:val="single"/>
        </w:rPr>
        <w:t>确定的宗地范围</w:t>
      </w:r>
      <w:r>
        <w:rPr>
          <w:rFonts w:hint="default" w:ascii="Times New Roman" w:hAnsi="Times New Roman" w:eastAsia="仿宋_GB2312" w:cs="Times New Roman"/>
          <w:color w:val="auto"/>
          <w:sz w:val="32"/>
          <w:szCs w:val="32"/>
          <w:highlight w:val="none"/>
        </w:rPr>
        <w:t>。出</w:t>
      </w:r>
      <w:r>
        <w:rPr>
          <w:rFonts w:hint="eastAsia" w:ascii="仿宋_GB2312" w:hAnsi="仿宋_GB2312" w:eastAsia="仿宋_GB2312" w:cs="仿宋_GB2312"/>
          <w:color w:val="auto"/>
          <w:sz w:val="32"/>
          <w:szCs w:val="32"/>
          <w:highlight w:val="none"/>
        </w:rPr>
        <w:t>让宗地的平面界址图见附件1。</w:t>
      </w:r>
    </w:p>
    <w:p w14:paraId="51A8490E">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本合同项下出让宗地的竖向界限以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为上界限，以</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为下界限，高差为</w:t>
      </w:r>
      <w:r>
        <w:rPr>
          <w:rFonts w:hint="eastAsia" w:ascii="仿宋_GB2312" w:hAnsi="宋体" w:eastAsia="仿宋_GB2312" w:cs="仿宋_GB2312"/>
          <w:strike/>
          <w:kern w:val="0"/>
          <w:sz w:val="32"/>
          <w:szCs w:val="32"/>
          <w:highlight w:val="none"/>
          <w:u w:val="single"/>
        </w:rPr>
        <w:t xml:space="preserve">          </w:t>
      </w:r>
      <w:r>
        <w:rPr>
          <w:rFonts w:hint="eastAsia" w:ascii="仿宋_GB2312" w:hAnsi="仿宋_GB2312" w:eastAsia="仿宋_GB2312" w:cs="仿宋_GB2312"/>
          <w:color w:val="auto"/>
          <w:sz w:val="32"/>
          <w:szCs w:val="32"/>
          <w:highlight w:val="none"/>
        </w:rPr>
        <w:t>米。出让宗地竖向界限见附件2。</w:t>
      </w:r>
    </w:p>
    <w:p w14:paraId="44D798F5">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出让宗地空间范围是以上述界址点所构成的垂直面和上、下界限高程平面封闭形成的空间范围。</w:t>
      </w:r>
    </w:p>
    <w:p w14:paraId="0265341F">
      <w:pPr>
        <w:spacing w:line="600" w:lineRule="exact"/>
        <w:ind w:firstLine="643" w:firstLineChars="200"/>
        <w:rPr>
          <w:rFonts w:hint="eastAsia" w:ascii="仿宋_GB2312" w:hAnsi="仿宋_GB2312" w:eastAsia="仿宋_GB2312" w:cs="仿宋_GB2312"/>
          <w:b w:val="0"/>
          <w:bCs w:val="0"/>
          <w:color w:val="auto"/>
          <w:sz w:val="22"/>
          <w:szCs w:val="22"/>
          <w:highlight w:val="none"/>
          <w:lang w:eastAsia="zh-CN"/>
        </w:rPr>
      </w:pPr>
      <w:r>
        <w:rPr>
          <w:rFonts w:hint="default" w:ascii="Times New Roman" w:hAnsi="Times New Roman" w:eastAsia="仿宋_GB2312" w:cs="Times New Roman"/>
          <w:b/>
          <w:bCs/>
          <w:color w:val="auto"/>
          <w:sz w:val="32"/>
          <w:szCs w:val="32"/>
          <w:highlight w:val="none"/>
        </w:rPr>
        <w:t>第六条</w:t>
      </w:r>
      <w:r>
        <w:rPr>
          <w:rFonts w:hint="default" w:ascii="Times New Roman" w:hAnsi="Times New Roman" w:eastAsia="仿宋_GB2312" w:cs="Times New Roman"/>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rPr>
        <w:t>本合同项下</w:t>
      </w:r>
      <w:r>
        <w:rPr>
          <w:rFonts w:hint="eastAsia" w:ascii="仿宋_GB2312" w:hAnsi="仿宋_GB2312" w:eastAsia="仿宋_GB2312" w:cs="仿宋_GB2312"/>
          <w:b w:val="0"/>
          <w:bCs w:val="0"/>
          <w:color w:val="auto"/>
          <w:sz w:val="32"/>
          <w:szCs w:val="32"/>
          <w:highlight w:val="none"/>
          <w:lang w:eastAsia="zh-CN"/>
        </w:rPr>
        <w:t>出让宗地的</w:t>
      </w:r>
      <w:r>
        <w:rPr>
          <w:rFonts w:hint="eastAsia" w:ascii="仿宋_GB2312" w:hAnsi="仿宋_GB2312" w:eastAsia="仿宋_GB2312" w:cs="仿宋_GB2312"/>
          <w:b w:val="0"/>
          <w:bCs w:val="0"/>
          <w:color w:val="auto"/>
          <w:sz w:val="32"/>
          <w:szCs w:val="32"/>
          <w:highlight w:val="none"/>
        </w:rPr>
        <w:t>用途为</w:t>
      </w:r>
      <w:r>
        <w:rPr>
          <w:rFonts w:hint="eastAsia" w:ascii="Times New Roman" w:hAnsi="Times New Roman" w:eastAsia="仿宋_GB2312" w:cs="Times New Roman"/>
          <w:b w:val="0"/>
          <w:bCs w:val="0"/>
          <w:color w:val="auto"/>
          <w:kern w:val="0"/>
          <w:sz w:val="32"/>
          <w:szCs w:val="32"/>
          <w:highlight w:val="none"/>
          <w:u w:val="single"/>
          <w:lang w:val="en-US" w:eastAsia="zh-CN"/>
        </w:rPr>
        <w:t>二类城镇住宅用地</w:t>
      </w:r>
      <w:r>
        <w:rPr>
          <w:rFonts w:hint="default" w:ascii="Times New Roman" w:hAnsi="Times New Roman" w:eastAsia="仿宋_GB2312" w:cs="Times New Roman"/>
          <w:b w:val="0"/>
          <w:bCs w:val="0"/>
          <w:color w:val="auto"/>
          <w:kern w:val="0"/>
          <w:sz w:val="32"/>
          <w:szCs w:val="32"/>
          <w:highlight w:val="none"/>
          <w:u w:val="single"/>
        </w:rPr>
        <w:t xml:space="preserve"> </w:t>
      </w:r>
      <w:r>
        <w:rPr>
          <w:rFonts w:hint="eastAsia" w:ascii="仿宋_GB2312" w:hAnsi="仿宋_GB2312" w:eastAsia="仿宋_GB2312" w:cs="仿宋_GB2312"/>
          <w:b w:val="0"/>
          <w:bCs w:val="0"/>
          <w:color w:val="auto"/>
          <w:sz w:val="22"/>
          <w:szCs w:val="22"/>
          <w:highlight w:val="none"/>
          <w:lang w:eastAsia="zh-CN"/>
        </w:rPr>
        <w:t>。</w:t>
      </w:r>
    </w:p>
    <w:p w14:paraId="1655C085">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第七条 </w:t>
      </w:r>
      <w:r>
        <w:rPr>
          <w:rFonts w:hint="default" w:ascii="Times New Roman" w:hAnsi="Times New Roman" w:eastAsia="仿宋_GB2312" w:cs="Times New Roman"/>
          <w:color w:val="auto"/>
          <w:sz w:val="32"/>
          <w:szCs w:val="32"/>
          <w:highlight w:val="none"/>
        </w:rPr>
        <w:t xml:space="preserve"> 受让人在本合同项下宗地范围内新建建筑物、构筑物及其附属设施的，应符合市（县）</w:t>
      </w:r>
      <w:r>
        <w:rPr>
          <w:rFonts w:hint="eastAsia" w:ascii="Times New Roman" w:hAnsi="Times New Roman" w:eastAsia="仿宋_GB2312" w:cs="Times New Roman"/>
          <w:color w:val="auto"/>
          <w:sz w:val="32"/>
          <w:szCs w:val="32"/>
          <w:highlight w:val="none"/>
          <w:lang w:eastAsia="zh-CN"/>
        </w:rPr>
        <w:t>人民</w:t>
      </w:r>
      <w:r>
        <w:rPr>
          <w:rFonts w:hint="default" w:ascii="Times New Roman" w:hAnsi="Times New Roman" w:eastAsia="仿宋_GB2312" w:cs="Times New Roman"/>
          <w:color w:val="auto"/>
          <w:sz w:val="32"/>
          <w:szCs w:val="32"/>
          <w:highlight w:val="none"/>
        </w:rPr>
        <w:t>政府自然资源</w:t>
      </w:r>
      <w:r>
        <w:rPr>
          <w:rFonts w:hint="default" w:ascii="Times New Roman" w:hAnsi="Times New Roman" w:eastAsia="仿宋_GB2312" w:cs="Times New Roman"/>
          <w:color w:val="auto"/>
          <w:sz w:val="32"/>
          <w:szCs w:val="32"/>
          <w:highlight w:val="none"/>
          <w:lang w:val="en-US" w:eastAsia="zh-CN"/>
        </w:rPr>
        <w:t>主管</w:t>
      </w:r>
      <w:r>
        <w:rPr>
          <w:rFonts w:hint="default" w:ascii="Times New Roman" w:hAnsi="Times New Roman" w:eastAsia="仿宋_GB2312" w:cs="Times New Roman"/>
          <w:color w:val="auto"/>
          <w:sz w:val="32"/>
          <w:szCs w:val="32"/>
          <w:highlight w:val="none"/>
        </w:rPr>
        <w:t>部门确定的出让宗地规划条件（见附件3）。其中：</w:t>
      </w:r>
    </w:p>
    <w:p w14:paraId="5833CC41">
      <w:pPr>
        <w:spacing w:line="600" w:lineRule="exact"/>
        <w:ind w:firstLine="640" w:firstLineChars="200"/>
        <w:rPr>
          <w:rFonts w:hint="eastAsia" w:ascii="仿宋_GB2312" w:hAnsi="宋体" w:eastAsia="仿宋_GB2312" w:cs="仿宋_GB2312"/>
          <w:strike/>
          <w:kern w:val="0"/>
          <w:sz w:val="32"/>
          <w:szCs w:val="32"/>
          <w:highlight w:val="none"/>
          <w:u w:val="single"/>
          <w:lang w:val="en-US" w:eastAsia="zh-CN"/>
        </w:rPr>
      </w:pPr>
      <w:r>
        <w:rPr>
          <w:rFonts w:hint="default" w:ascii="Times New Roman" w:hAnsi="Times New Roman" w:eastAsia="仿宋_GB2312" w:cs="Times New Roman"/>
          <w:color w:val="auto"/>
          <w:sz w:val="32"/>
          <w:szCs w:val="32"/>
          <w:highlight w:val="none"/>
        </w:rPr>
        <w:t>建筑总面积不大于</w:t>
      </w:r>
      <w:r>
        <w:rPr>
          <w:rFonts w:hint="eastAsia" w:ascii="Times New Roman" w:hAnsi="Times New Roman" w:eastAsia="仿宋_GB2312" w:cs="Times New Roman"/>
          <w:color w:val="auto"/>
          <w:sz w:val="32"/>
          <w:szCs w:val="32"/>
          <w:highlight w:val="none"/>
          <w:u w:val="single"/>
          <w:lang w:val="en-US" w:eastAsia="zh-CN"/>
        </w:rPr>
        <w:t>22566.44</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不小于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p>
    <w:p w14:paraId="63C49AA0">
      <w:pPr>
        <w:spacing w:line="600" w:lineRule="exact"/>
        <w:rPr>
          <w:rFonts w:hint="default" w:ascii="Times New Roman" w:hAnsi="Times New Roman" w:eastAsia="仿宋_GB2312" w:cs="Times New Roman"/>
          <w:color w:val="auto"/>
          <w:sz w:val="32"/>
          <w:szCs w:val="32"/>
          <w:highlight w:val="none"/>
        </w:rPr>
      </w:pPr>
      <w:r>
        <w:rPr>
          <w:rFonts w:hint="eastAsia" w:ascii="仿宋_GB2312" w:hAnsi="宋体" w:eastAsia="仿宋_GB2312" w:cs="仿宋_GB2312"/>
          <w:strike w:val="0"/>
          <w:kern w:val="0"/>
          <w:sz w:val="32"/>
          <w:szCs w:val="32"/>
          <w:highlight w:val="none"/>
          <w:u w:val="none"/>
          <w:lang w:val="en-US" w:eastAsia="zh-CN"/>
        </w:rPr>
        <w:t>平方米</w:t>
      </w:r>
      <w:r>
        <w:rPr>
          <w:rFonts w:hint="default" w:ascii="Times New Roman" w:hAnsi="Times New Roman" w:eastAsia="仿宋_GB2312" w:cs="Times New Roman"/>
          <w:color w:val="auto"/>
          <w:sz w:val="32"/>
          <w:szCs w:val="32"/>
          <w:highlight w:val="none"/>
        </w:rPr>
        <w:t>；</w:t>
      </w:r>
    </w:p>
    <w:p w14:paraId="58E06A8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容积率不高于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099CB731">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w:t>
      </w:r>
      <w:r>
        <w:rPr>
          <w:rFonts w:hint="default" w:ascii="Times New Roman" w:hAnsi="Times New Roman" w:eastAsia="仿宋_GB2312" w:cs="Times New Roman"/>
          <w:color w:val="auto"/>
          <w:sz w:val="32"/>
          <w:szCs w:val="32"/>
          <w:highlight w:val="none"/>
          <w:lang w:eastAsia="zh-CN"/>
        </w:rPr>
        <w:t>高度不高于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eastAsia="zh-CN"/>
        </w:rPr>
        <w:t>米</w:t>
      </w:r>
      <w:r>
        <w:rPr>
          <w:rFonts w:hint="default" w:ascii="Times New Roman" w:hAnsi="Times New Roman" w:eastAsia="仿宋_GB2312" w:cs="Times New Roman"/>
          <w:color w:val="auto"/>
          <w:sz w:val="32"/>
          <w:szCs w:val="32"/>
          <w:highlight w:val="none"/>
        </w:rPr>
        <w:t>；</w:t>
      </w:r>
    </w:p>
    <w:p w14:paraId="21DDA53D">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建筑密度</w:t>
      </w:r>
      <w:r>
        <w:rPr>
          <w:rFonts w:hint="default" w:ascii="Times New Roman" w:hAnsi="Times New Roman" w:eastAsia="仿宋_GB2312" w:cs="Times New Roman"/>
          <w:color w:val="auto"/>
          <w:sz w:val="32"/>
          <w:szCs w:val="32"/>
          <w:highlight w:val="none"/>
          <w:lang w:eastAsia="zh-CN"/>
        </w:rPr>
        <w:t>（建筑系数）</w:t>
      </w:r>
      <w:r>
        <w:rPr>
          <w:rFonts w:hint="default" w:ascii="Times New Roman" w:hAnsi="Times New Roman" w:eastAsia="仿宋_GB2312" w:cs="Times New Roman"/>
          <w:color w:val="auto"/>
          <w:sz w:val="32"/>
          <w:szCs w:val="32"/>
          <w:highlight w:val="none"/>
        </w:rPr>
        <w:t>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2B0F1C7C">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绿地率不高于</w:t>
      </w:r>
      <w:r>
        <w:rPr>
          <w:rFonts w:hint="eastAsia" w:ascii="仿宋_GB2312" w:hAnsi="宋体" w:eastAsia="仿宋_GB2312" w:cs="仿宋_GB2312"/>
          <w:strike/>
          <w:kern w:val="0"/>
          <w:sz w:val="32"/>
          <w:szCs w:val="32"/>
          <w:highlight w:val="none"/>
          <w:u w:val="single"/>
        </w:rPr>
        <w:t xml:space="preserve">       </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不低于</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；其他土地利用要求</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3C48791B">
      <w:pPr>
        <w:keepNext w:val="0"/>
        <w:keepLines w:val="0"/>
        <w:pageBreakBefore w:val="0"/>
        <w:widowControl w:val="0"/>
        <w:kinsoku/>
        <w:wordWrap w:val="0"/>
        <w:overflowPunct/>
        <w:topLinePunct/>
        <w:autoSpaceDE/>
        <w:autoSpaceDN/>
        <w:bidi w:val="0"/>
        <w:adjustRightInd/>
        <w:snapToGrid/>
        <w:spacing w:line="600" w:lineRule="exact"/>
        <w:ind w:firstLine="643" w:firstLineChars="200"/>
        <w:textAlignment w:val="auto"/>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本合同项下的国有建设用地使用权出让期限为</w:t>
      </w:r>
      <w:r>
        <w:rPr>
          <w:rFonts w:hint="eastAsia" w:ascii="Times New Roman" w:hAnsi="Times New Roman" w:eastAsia="仿宋_GB2312" w:cs="Times New Roman"/>
          <w:color w:val="auto"/>
          <w:sz w:val="32"/>
          <w:szCs w:val="32"/>
          <w:highlight w:val="none"/>
          <w:u w:val="single"/>
          <w:lang w:val="en-US" w:eastAsia="zh-CN"/>
        </w:rPr>
        <w:t xml:space="preserve"> 居住70年，商业40年，办公50</w:t>
      </w:r>
      <w:r>
        <w:rPr>
          <w:rFonts w:hint="default" w:ascii="Times New Roman" w:hAnsi="Times New Roman" w:eastAsia="仿宋_GB2312" w:cs="Times New Roman"/>
          <w:color w:val="auto"/>
          <w:sz w:val="32"/>
          <w:szCs w:val="32"/>
          <w:highlight w:val="none"/>
        </w:rPr>
        <w:t>年，出让期限自出让合同签订之日起算。</w:t>
      </w:r>
    </w:p>
    <w:p w14:paraId="73747EC7">
      <w:pPr>
        <w:wordWrap/>
        <w:spacing w:line="600" w:lineRule="exact"/>
        <w:ind w:firstLine="643" w:firstLineChars="200"/>
        <w:jc w:val="left"/>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第九条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rPr>
        <w:t>本合同项下宗地的国有建设用地使用权出让价款为土地成交价款，即人民币（大写）</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rPr>
        <w:t>元整（</w:t>
      </w:r>
      <w:r>
        <w:rPr>
          <w:rFonts w:hint="eastAsia" w:ascii="Times New Roman" w:hAnsi="Times New Roman" w:eastAsia="仿宋_GB2312" w:cs="Times New Roman"/>
          <w:color w:val="auto"/>
          <w:sz w:val="32"/>
          <w:szCs w:val="32"/>
          <w:highlight w:val="none"/>
          <w:lang w:val="en-US" w:eastAsia="zh-CN"/>
        </w:rPr>
        <w:t>小写</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rPr>
        <w:t>万元），土地成交单价为</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rPr>
        <w:t>元每建筑平方米。</w:t>
      </w:r>
    </w:p>
    <w:p w14:paraId="0398ECCE">
      <w:pPr>
        <w:wordWrap/>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本合同项下</w:t>
      </w:r>
      <w:r>
        <w:rPr>
          <w:rFonts w:hint="eastAsia" w:ascii="Times New Roman" w:hAnsi="Times New Roman" w:eastAsia="仿宋_GB2312" w:cs="Times New Roman"/>
          <w:color w:val="auto"/>
          <w:sz w:val="32"/>
          <w:szCs w:val="32"/>
          <w:highlight w:val="none"/>
        </w:rPr>
        <w:t>国有建设用地使用权</w:t>
      </w:r>
      <w:r>
        <w:rPr>
          <w:rFonts w:hint="default" w:ascii="Times New Roman" w:hAnsi="Times New Roman" w:eastAsia="仿宋_GB2312" w:cs="Times New Roman"/>
          <w:color w:val="auto"/>
          <w:sz w:val="32"/>
          <w:szCs w:val="32"/>
          <w:highlight w:val="none"/>
        </w:rPr>
        <w:t>出让价款</w:t>
      </w:r>
      <w:r>
        <w:rPr>
          <w:rFonts w:hint="eastAsia" w:ascii="仿宋_GB2312" w:hAnsi="仿宋_GB2312" w:eastAsia="仿宋_GB2312" w:cs="仿宋_GB2312"/>
          <w:color w:val="auto"/>
          <w:sz w:val="32"/>
          <w:szCs w:val="32"/>
          <w:highlight w:val="none"/>
        </w:rPr>
        <w:t>的20%，即</w:t>
      </w:r>
      <w:r>
        <w:rPr>
          <w:rFonts w:hint="default" w:ascii="Times New Roman" w:hAnsi="Times New Roman" w:eastAsia="仿宋_GB2312" w:cs="Times New Roman"/>
          <w:color w:val="auto"/>
          <w:sz w:val="32"/>
          <w:szCs w:val="32"/>
          <w:highlight w:val="none"/>
        </w:rPr>
        <w:t>人民币（大写）</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元整（￥</w:t>
      </w:r>
      <w:r>
        <w:rPr>
          <w:rFonts w:hint="default"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万元），作为履行合同的定金</w:t>
      </w:r>
      <w:r>
        <w:rPr>
          <w:rFonts w:hint="eastAsia" w:ascii="Times New Roman" w:hAnsi="Times New Roman" w:eastAsia="仿宋_GB2312" w:cs="Times New Roman"/>
          <w:color w:val="auto"/>
          <w:sz w:val="32"/>
          <w:szCs w:val="32"/>
          <w:highlight w:val="none"/>
          <w:lang w:eastAsia="zh-CN"/>
        </w:rPr>
        <w:t>，定金抵作出让价款</w:t>
      </w:r>
      <w:r>
        <w:rPr>
          <w:rFonts w:hint="default" w:ascii="Times New Roman" w:hAnsi="Times New Roman" w:eastAsia="仿宋_GB2312" w:cs="Times New Roman"/>
          <w:color w:val="auto"/>
          <w:sz w:val="32"/>
          <w:szCs w:val="32"/>
          <w:highlight w:val="none"/>
        </w:rPr>
        <w:t>。</w:t>
      </w:r>
    </w:p>
    <w:p w14:paraId="097CD99D">
      <w:pPr>
        <w:wordWrap w:val="0"/>
        <w:spacing w:line="600" w:lineRule="exact"/>
        <w:ind w:firstLine="643"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第十一条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受让人同意按照本条第一款第</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项的规定向出让人支付国有建设用地使用权出让价款：</w:t>
      </w:r>
    </w:p>
    <w:p w14:paraId="0078D7D6">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（一）本合同签订之日起</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日内，一次性付清国有建设用地使用权出让价款;</w:t>
      </w:r>
    </w:p>
    <w:p w14:paraId="3E77D83B">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（二）按以下时间和金额分</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期向出让人支付国有建设用地使用权出让价款。</w:t>
      </w:r>
    </w:p>
    <w:p w14:paraId="40C95FEB">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第一期 人民币大写</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元（小写</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元），付款时间：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日之前。</w:t>
      </w:r>
    </w:p>
    <w:p w14:paraId="5B4F5B91">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第二期 人民币大写</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元（小写</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元），付款时间：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日之前。</w:t>
      </w:r>
    </w:p>
    <w:p w14:paraId="1C875586">
      <w:pPr>
        <w:spacing w:line="60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期 人民币大写</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元（小写</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元），付款时间：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日之前。</w:t>
      </w:r>
    </w:p>
    <w:p w14:paraId="05BB255F">
      <w:pPr>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期 人民币大写</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元（小写</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元），付款时间：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日之前。</w:t>
      </w:r>
    </w:p>
    <w:p w14:paraId="0BF4C42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第十二条</w:t>
      </w:r>
      <w:r>
        <w:rPr>
          <w:rFonts w:hint="default" w:ascii="Times New Roman" w:hAnsi="Times New Roman" w:eastAsia="仿宋_GB2312" w:cs="Times New Roman"/>
          <w:color w:val="auto"/>
          <w:sz w:val="32"/>
          <w:szCs w:val="32"/>
          <w:highlight w:val="none"/>
        </w:rPr>
        <w:t xml:space="preserve">  出让人同意在</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年</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月</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日前将出让宗地交付给受让人，交付土地时该宗地土地权利清晰、安置补偿落实到位，应达到本条第</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项规定的土地条件：</w:t>
      </w:r>
    </w:p>
    <w:p w14:paraId="6CBC45BB">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（一）场地平整达到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；周围基础设施达到</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w:t>
      </w:r>
    </w:p>
    <w:p w14:paraId="085159B5">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（二）现状土地条件</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79165FC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第十三条</w:t>
      </w:r>
      <w:r>
        <w:rPr>
          <w:rFonts w:hint="default" w:ascii="Times New Roman" w:hAnsi="Times New Roman" w:eastAsia="仿宋_GB2312" w:cs="Times New Roman"/>
          <w:color w:val="auto"/>
          <w:sz w:val="32"/>
          <w:szCs w:val="32"/>
          <w:highlight w:val="none"/>
        </w:rPr>
        <w:t xml:space="preserve">  受让人应在按本合同约定付清本宗地全部出让价款后</w:t>
      </w:r>
      <w:r>
        <w:rPr>
          <w:rFonts w:hint="default" w:ascii="Times New Roman" w:hAnsi="Times New Roman" w:eastAsia="仿宋_GB2312" w:cs="Times New Roman"/>
          <w:color w:val="auto"/>
          <w:sz w:val="32"/>
          <w:szCs w:val="32"/>
          <w:highlight w:val="none"/>
          <w:lang w:eastAsia="zh-CN"/>
        </w:rPr>
        <w:t>（涉及利息和违约金的，亦需付清）</w:t>
      </w:r>
      <w:r>
        <w:rPr>
          <w:rFonts w:hint="default" w:ascii="Times New Roman" w:hAnsi="Times New Roman" w:eastAsia="仿宋_GB2312" w:cs="Times New Roman"/>
          <w:color w:val="auto"/>
          <w:sz w:val="32"/>
          <w:szCs w:val="32"/>
          <w:highlight w:val="none"/>
        </w:rPr>
        <w:t>，持本合同和出让价款缴纳凭证等相关证明材料，申请出让国有建设用地使用权登记。</w:t>
      </w:r>
    </w:p>
    <w:p w14:paraId="182F00B6">
      <w:pPr>
        <w:pStyle w:val="4"/>
        <w:rPr>
          <w:rFonts w:hint="eastAsia"/>
          <w:color w:val="auto"/>
          <w:highlight w:val="none"/>
        </w:rPr>
      </w:pPr>
    </w:p>
    <w:p w14:paraId="667CE6A5">
      <w:pPr>
        <w:spacing w:line="560" w:lineRule="exact"/>
        <w:jc w:val="center"/>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第三章  土地开发建设与利用</w:t>
      </w:r>
    </w:p>
    <w:p w14:paraId="3DC66111">
      <w:pPr>
        <w:pStyle w:val="4"/>
        <w:rPr>
          <w:rFonts w:hint="eastAsia"/>
          <w:color w:val="auto"/>
          <w:highlight w:val="none"/>
        </w:rPr>
      </w:pPr>
    </w:p>
    <w:p w14:paraId="59C80DAC">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第十四条 </w:t>
      </w:r>
      <w:r>
        <w:rPr>
          <w:rFonts w:hint="default" w:ascii="Times New Roman" w:hAnsi="Times New Roman" w:eastAsia="仿宋_GB2312" w:cs="Times New Roman"/>
          <w:color w:val="auto"/>
          <w:sz w:val="32"/>
          <w:szCs w:val="32"/>
          <w:highlight w:val="none"/>
        </w:rPr>
        <w:t xml:space="preserve"> 本合同项下宗地用于工业项目建设的，根据自然资源</w:t>
      </w:r>
      <w:r>
        <w:rPr>
          <w:rFonts w:hint="default" w:ascii="Times New Roman" w:hAnsi="Times New Roman" w:eastAsia="仿宋_GB2312" w:cs="Times New Roman"/>
          <w:color w:val="auto"/>
          <w:sz w:val="32"/>
          <w:szCs w:val="32"/>
          <w:highlight w:val="none"/>
          <w:lang w:eastAsia="zh-CN"/>
        </w:rPr>
        <w:t>主管</w:t>
      </w:r>
      <w:r>
        <w:rPr>
          <w:rFonts w:hint="default" w:ascii="Times New Roman" w:hAnsi="Times New Roman" w:eastAsia="仿宋_GB2312" w:cs="Times New Roman"/>
          <w:color w:val="auto"/>
          <w:sz w:val="32"/>
          <w:szCs w:val="32"/>
          <w:highlight w:val="none"/>
        </w:rPr>
        <w:t>部门确定的规划条件，本合同受让宗地范围内用于企业内部行政办公及生活服务设施的占地面积不超过受让宗地面积的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％，即不超过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平方米</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建筑面积不超过</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rPr>
        <w:t>平方米</w:t>
      </w:r>
      <w:r>
        <w:rPr>
          <w:rFonts w:hint="default" w:ascii="Times New Roman" w:hAnsi="Times New Roman" w:eastAsia="仿宋_GB2312" w:cs="Times New Roman"/>
          <w:color w:val="auto"/>
          <w:sz w:val="32"/>
          <w:szCs w:val="32"/>
          <w:highlight w:val="none"/>
          <w:lang w:eastAsia="zh-CN"/>
        </w:rPr>
        <w:t>，且建筑面积不超过工业项目总建筑面积的</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％。受让人</w:t>
      </w:r>
      <w:r>
        <w:rPr>
          <w:rFonts w:hint="default" w:ascii="Times New Roman" w:hAnsi="Times New Roman" w:eastAsia="仿宋_GB2312" w:cs="Times New Roman"/>
          <w:color w:val="auto"/>
          <w:sz w:val="32"/>
          <w:szCs w:val="32"/>
          <w:highlight w:val="none"/>
          <w:lang w:eastAsia="zh-CN"/>
        </w:rPr>
        <w:t>不得</w:t>
      </w:r>
      <w:r>
        <w:rPr>
          <w:rFonts w:hint="default" w:ascii="Times New Roman" w:hAnsi="Times New Roman" w:eastAsia="仿宋_GB2312" w:cs="Times New Roman"/>
          <w:color w:val="auto"/>
          <w:sz w:val="32"/>
          <w:szCs w:val="32"/>
          <w:highlight w:val="none"/>
        </w:rPr>
        <w:t>在受让宗地范围内建造成套住宅、专家楼、宾馆、招待所和培训中心等非生产性</w:t>
      </w:r>
      <w:r>
        <w:rPr>
          <w:rFonts w:hint="default" w:ascii="Times New Roman" w:hAnsi="Times New Roman" w:eastAsia="仿宋_GB2312" w:cs="Times New Roman"/>
          <w:color w:val="auto"/>
          <w:sz w:val="32"/>
          <w:szCs w:val="32"/>
          <w:highlight w:val="none"/>
          <w:lang w:eastAsia="zh-CN"/>
        </w:rPr>
        <w:t>配套</w:t>
      </w:r>
      <w:r>
        <w:rPr>
          <w:rFonts w:hint="default" w:ascii="Times New Roman" w:hAnsi="Times New Roman" w:eastAsia="仿宋_GB2312" w:cs="Times New Roman"/>
          <w:color w:val="auto"/>
          <w:sz w:val="32"/>
          <w:szCs w:val="32"/>
          <w:highlight w:val="none"/>
        </w:rPr>
        <w:t>设施。</w:t>
      </w:r>
    </w:p>
    <w:p w14:paraId="14646184">
      <w:pPr>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第十五条</w:t>
      </w:r>
      <w:r>
        <w:rPr>
          <w:rFonts w:ascii="Times New Roman" w:hAnsi="Times New Roman" w:eastAsia="仿宋_GB2312" w:cs="Times New Roman"/>
          <w:color w:val="auto"/>
          <w:sz w:val="32"/>
          <w:szCs w:val="32"/>
          <w:highlight w:val="none"/>
        </w:rPr>
        <w:t xml:space="preserve">  受让人同意本合同项下宗地建设项目在</w:t>
      </w:r>
      <w:r>
        <w:rPr>
          <w:rFonts w:hint="eastAsia" w:ascii="Times New Roman" w:hAnsi="Times New Roman" w:eastAsia="仿宋_GB2312" w:cs="Times New Roman"/>
          <w:color w:val="auto"/>
          <w:sz w:val="32"/>
          <w:szCs w:val="32"/>
          <w:highlight w:val="none"/>
          <w:u w:val="single"/>
          <w:lang w:val="en-US" w:eastAsia="zh-CN"/>
        </w:rPr>
        <w:t>2027</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日之前开工，在</w:t>
      </w:r>
      <w:r>
        <w:rPr>
          <w:rFonts w:hint="eastAsia" w:ascii="Times New Roman" w:hAnsi="Times New Roman" w:eastAsia="仿宋_GB2312" w:cs="Times New Roman"/>
          <w:color w:val="auto"/>
          <w:sz w:val="32"/>
          <w:szCs w:val="32"/>
          <w:highlight w:val="none"/>
          <w:u w:val="single"/>
          <w:lang w:val="en-US" w:eastAsia="zh-CN"/>
        </w:rPr>
        <w:t>2030</w:t>
      </w:r>
      <w:r>
        <w:rPr>
          <w:rFonts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日之前竣工。</w:t>
      </w:r>
    </w:p>
    <w:p w14:paraId="66B819C7">
      <w:pPr>
        <w:spacing w:line="60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受让人不能按期开工或竣工，应在本合同约定的开工或竣工日期</w:t>
      </w:r>
      <w:r>
        <w:rPr>
          <w:rFonts w:hint="eastAsia" w:ascii="仿宋_GB2312" w:hAnsi="仿宋_GB2312" w:eastAsia="仿宋_GB2312" w:cs="仿宋_GB2312"/>
          <w:color w:val="auto"/>
          <w:sz w:val="32"/>
          <w:szCs w:val="32"/>
          <w:highlight w:val="none"/>
        </w:rPr>
        <w:t>前3 0</w:t>
      </w:r>
      <w:r>
        <w:rPr>
          <w:rFonts w:hint="eastAsia" w:ascii="Times New Roman" w:hAnsi="Times New Roman" w:eastAsia="仿宋_GB2312" w:cs="Times New Roman"/>
          <w:color w:val="auto"/>
          <w:sz w:val="32"/>
          <w:szCs w:val="32"/>
          <w:highlight w:val="none"/>
        </w:rPr>
        <w:t>日内，向所在区规划和自然资源分局提出延建申请，同意延建的，其项目开工或竣工时间相应顺延，但延建期限不得超过一年。</w:t>
      </w:r>
    </w:p>
    <w:p w14:paraId="3847A72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第十六条 </w:t>
      </w:r>
      <w:r>
        <w:rPr>
          <w:rFonts w:ascii="Times New Roman" w:hAnsi="Times New Roman" w:eastAsia="仿宋_GB2312" w:cs="Times New Roman"/>
          <w:color w:val="auto"/>
          <w:sz w:val="32"/>
          <w:szCs w:val="32"/>
          <w:highlight w:val="none"/>
        </w:rPr>
        <w:t xml:space="preserve"> 受让人在本合同项下宗地内进行建设时，有关用水、用气、污水及其他设施与宗地外主管线、用电变电站接口和引入工程，应按有关规定办理。</w:t>
      </w:r>
    </w:p>
    <w:p w14:paraId="29CDAA2A">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受让人同意政府为公用事业需要而敷设的各种管道与管线</w:t>
      </w:r>
      <w:r>
        <w:rPr>
          <w:rFonts w:hint="default" w:ascii="Times New Roman" w:hAnsi="Times New Roman" w:eastAsia="仿宋_GB2312" w:cs="Times New Roman"/>
          <w:color w:val="auto"/>
          <w:sz w:val="32"/>
          <w:szCs w:val="32"/>
          <w:highlight w:val="none"/>
          <w:lang w:eastAsia="zh-CN"/>
        </w:rPr>
        <w:t>、轨道交通工程</w:t>
      </w:r>
      <w:r>
        <w:rPr>
          <w:rFonts w:ascii="Times New Roman" w:hAnsi="Times New Roman" w:eastAsia="仿宋_GB2312" w:cs="Times New Roman"/>
          <w:color w:val="auto"/>
          <w:sz w:val="32"/>
          <w:szCs w:val="32"/>
          <w:highlight w:val="none"/>
        </w:rPr>
        <w:t>进出、通过、穿越受让宗地，</w:t>
      </w:r>
      <w:r>
        <w:rPr>
          <w:rFonts w:hint="default" w:ascii="Times New Roman" w:hAnsi="Times New Roman" w:eastAsia="仿宋_GB2312" w:cs="Times New Roman"/>
          <w:color w:val="auto"/>
          <w:sz w:val="32"/>
          <w:szCs w:val="32"/>
          <w:highlight w:val="none"/>
        </w:rPr>
        <w:t>因影响宗地使用功能，政府或公用事业营建主体支付合理补偿的，该补偿归受让人所有</w:t>
      </w:r>
      <w:r>
        <w:rPr>
          <w:rFonts w:ascii="Times New Roman" w:hAnsi="Times New Roman" w:eastAsia="仿宋_GB2312" w:cs="Times New Roman"/>
          <w:color w:val="auto"/>
          <w:sz w:val="32"/>
          <w:szCs w:val="32"/>
          <w:highlight w:val="none"/>
        </w:rPr>
        <w:t>。</w:t>
      </w:r>
    </w:p>
    <w:p w14:paraId="2F9FA10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第十七条</w:t>
      </w:r>
      <w:r>
        <w:rPr>
          <w:rFonts w:hint="default" w:ascii="Times New Roman" w:hAnsi="Times New Roman" w:eastAsia="仿宋_GB2312" w:cs="Times New Roman"/>
          <w:color w:val="auto"/>
          <w:sz w:val="32"/>
          <w:szCs w:val="32"/>
          <w:highlight w:val="none"/>
        </w:rPr>
        <w:t xml:space="preserve">  受让人应当按照本合同约定的土地用途、规划条件利用土地，不得擅自改变。在出让期限内，需要改变本合同约定的土地用途、规划条件的，</w:t>
      </w:r>
      <w:r>
        <w:rPr>
          <w:rFonts w:hint="default" w:ascii="Times New Roman" w:hAnsi="Times New Roman" w:eastAsia="仿宋_GB2312" w:cs="Times New Roman"/>
          <w:color w:val="auto"/>
          <w:sz w:val="32"/>
          <w:szCs w:val="32"/>
          <w:highlight w:val="none"/>
          <w:lang w:eastAsia="zh-CN"/>
        </w:rPr>
        <w:t>依法履行相应审批程序后，</w:t>
      </w:r>
      <w:r>
        <w:rPr>
          <w:rFonts w:hint="default" w:ascii="Times New Roman" w:hAnsi="Times New Roman" w:eastAsia="仿宋_GB2312" w:cs="Times New Roman"/>
          <w:color w:val="auto"/>
          <w:sz w:val="32"/>
          <w:szCs w:val="32"/>
          <w:highlight w:val="none"/>
        </w:rPr>
        <w:t>双方同意按照本条第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项规定办理：</w:t>
      </w:r>
    </w:p>
    <w:p w14:paraId="0B3CA397">
      <w:pPr>
        <w:spacing w:line="60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（一）由出让人有偿收回</w:t>
      </w:r>
      <w:r>
        <w:rPr>
          <w:rFonts w:hint="eastAsia" w:ascii="Times New Roman" w:hAnsi="Times New Roman" w:eastAsia="仿宋_GB2312" w:cs="Times New Roman"/>
          <w:color w:val="auto"/>
          <w:sz w:val="32"/>
          <w:szCs w:val="32"/>
          <w:highlight w:val="none"/>
          <w:lang w:eastAsia="zh-CN"/>
        </w:rPr>
        <w:t>国有</w:t>
      </w:r>
      <w:r>
        <w:rPr>
          <w:rFonts w:hint="default" w:ascii="Times New Roman" w:hAnsi="Times New Roman" w:eastAsia="仿宋_GB2312" w:cs="Times New Roman"/>
          <w:color w:val="auto"/>
          <w:sz w:val="32"/>
          <w:szCs w:val="32"/>
          <w:highlight w:val="none"/>
        </w:rPr>
        <w:t>建设用地使用权</w:t>
      </w:r>
      <w:r>
        <w:rPr>
          <w:rFonts w:hint="default" w:ascii="Times New Roman" w:hAnsi="Times New Roman" w:eastAsia="仿宋_GB2312" w:cs="Times New Roman"/>
          <w:color w:val="auto"/>
          <w:sz w:val="32"/>
          <w:szCs w:val="32"/>
          <w:highlight w:val="none"/>
          <w:lang w:eastAsia="zh-CN"/>
        </w:rPr>
        <w:t>；</w:t>
      </w:r>
    </w:p>
    <w:p w14:paraId="3A897F0B">
      <w:pPr>
        <w:spacing w:line="60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（二）依法办理改变土地用途、规划条件批准手续，签订国有建设用地使用权出让合同变更协议或者重新签订国有建设用地使用权出让合同，</w:t>
      </w:r>
      <w:r>
        <w:rPr>
          <w:rFonts w:hint="default" w:ascii="Times New Roman" w:hAnsi="Times New Roman" w:eastAsia="仿宋_GB2312" w:cs="Times New Roman"/>
          <w:b w:val="0"/>
          <w:bCs w:val="0"/>
          <w:color w:val="auto"/>
          <w:sz w:val="32"/>
          <w:szCs w:val="32"/>
          <w:highlight w:val="none"/>
          <w:lang w:val="en-US" w:eastAsia="zh-CN"/>
        </w:rPr>
        <w:t>按</w:t>
      </w:r>
      <w:r>
        <w:rPr>
          <w:rFonts w:hint="eastAsia" w:ascii="Times New Roman" w:hAnsi="Times New Roman" w:eastAsia="仿宋_GB2312" w:cs="Times New Roman"/>
          <w:b w:val="0"/>
          <w:bCs w:val="0"/>
          <w:color w:val="auto"/>
          <w:sz w:val="32"/>
          <w:szCs w:val="32"/>
          <w:highlight w:val="none"/>
          <w:lang w:val="en-US" w:eastAsia="zh-CN"/>
        </w:rPr>
        <w:t>照</w:t>
      </w:r>
      <w:r>
        <w:rPr>
          <w:rFonts w:hint="default" w:ascii="Times New Roman" w:hAnsi="Times New Roman" w:eastAsia="仿宋_GB2312" w:cs="Times New Roman"/>
          <w:b w:val="0"/>
          <w:bCs w:val="0"/>
          <w:color w:val="auto"/>
          <w:sz w:val="32"/>
          <w:szCs w:val="32"/>
          <w:highlight w:val="none"/>
          <w:lang w:val="en-US" w:eastAsia="zh-CN"/>
        </w:rPr>
        <w:t>批准改变时新土地用途、规划条件下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建设用地使用权评估市场价格与原土地用途、规划条件下</w:t>
      </w:r>
      <w:r>
        <w:rPr>
          <w:rFonts w:hint="eastAsia" w:ascii="Times New Roman" w:hAnsi="Times New Roman" w:eastAsia="仿宋_GB2312" w:cs="Times New Roman"/>
          <w:b w:val="0"/>
          <w:bCs w:val="0"/>
          <w:color w:val="auto"/>
          <w:sz w:val="32"/>
          <w:szCs w:val="32"/>
          <w:highlight w:val="none"/>
          <w:lang w:val="en-US" w:eastAsia="zh-CN"/>
        </w:rPr>
        <w:t>国有</w:t>
      </w:r>
      <w:r>
        <w:rPr>
          <w:rFonts w:hint="default" w:ascii="Times New Roman" w:hAnsi="Times New Roman" w:eastAsia="仿宋_GB2312" w:cs="Times New Roman"/>
          <w:b w:val="0"/>
          <w:bCs w:val="0"/>
          <w:color w:val="auto"/>
          <w:sz w:val="32"/>
          <w:szCs w:val="32"/>
          <w:highlight w:val="none"/>
          <w:lang w:val="en-US" w:eastAsia="zh-CN"/>
        </w:rPr>
        <w:t>建设用地使用权评估市场价格</w:t>
      </w:r>
      <w:r>
        <w:rPr>
          <w:rFonts w:hint="eastAsia" w:ascii="Times New Roman" w:hAnsi="Times New Roman" w:eastAsia="仿宋_GB2312" w:cs="Times New Roman"/>
          <w:b w:val="0"/>
          <w:bCs w:val="0"/>
          <w:color w:val="auto"/>
          <w:sz w:val="32"/>
          <w:szCs w:val="32"/>
          <w:highlight w:val="none"/>
          <w:lang w:val="en-US" w:eastAsia="zh-CN"/>
        </w:rPr>
        <w:t>相应调整</w:t>
      </w:r>
      <w:r>
        <w:rPr>
          <w:rFonts w:hint="default" w:ascii="Times New Roman" w:hAnsi="Times New Roman" w:eastAsia="仿宋_GB2312" w:cs="Times New Roman"/>
          <w:b w:val="0"/>
          <w:bCs w:val="0"/>
          <w:color w:val="auto"/>
          <w:sz w:val="32"/>
          <w:szCs w:val="32"/>
          <w:highlight w:val="none"/>
          <w:lang w:val="en-US" w:eastAsia="zh-CN"/>
        </w:rPr>
        <w:t>国有建设用地使用权出让价款，</w:t>
      </w:r>
      <w:r>
        <w:rPr>
          <w:rFonts w:hint="default" w:ascii="Times New Roman" w:hAnsi="Times New Roman" w:eastAsia="仿宋_GB2312" w:cs="Times New Roman"/>
          <w:color w:val="auto"/>
          <w:sz w:val="32"/>
          <w:szCs w:val="32"/>
          <w:highlight w:val="none"/>
          <w:lang w:val="en-US" w:eastAsia="zh-CN"/>
        </w:rPr>
        <w:t>办理不动产变更登记。</w:t>
      </w:r>
    </w:p>
    <w:p w14:paraId="11E6C029">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第十八条</w:t>
      </w:r>
      <w:r>
        <w:rPr>
          <w:rFonts w:hint="default" w:ascii="Times New Roman" w:hAnsi="Times New Roman" w:eastAsia="仿宋_GB2312" w:cs="Times New Roman"/>
          <w:color w:val="auto"/>
          <w:sz w:val="32"/>
          <w:szCs w:val="32"/>
          <w:highlight w:val="none"/>
        </w:rPr>
        <w:t xml:space="preserve">  本合同项下宗地在使用期限内，政府保留对</w:t>
      </w:r>
      <w:r>
        <w:rPr>
          <w:rFonts w:hint="eastAsia" w:ascii="Times New Roman" w:hAnsi="Times New Roman" w:eastAsia="仿宋_GB2312" w:cs="Times New Roman"/>
          <w:color w:val="auto"/>
          <w:sz w:val="32"/>
          <w:szCs w:val="32"/>
          <w:highlight w:val="none"/>
          <w:lang w:eastAsia="zh-CN"/>
        </w:rPr>
        <w:t>该</w:t>
      </w:r>
      <w:r>
        <w:rPr>
          <w:rFonts w:hint="default" w:ascii="Times New Roman" w:hAnsi="Times New Roman" w:eastAsia="仿宋_GB2312" w:cs="Times New Roman"/>
          <w:color w:val="auto"/>
          <w:sz w:val="32"/>
          <w:szCs w:val="32"/>
          <w:highlight w:val="none"/>
        </w:rPr>
        <w:t>宗地的规划调整权，原规划如有修改，该宗地已有的建筑物不受影响，但在使用期限内该宗地建筑物、构筑物及其附属设施改建、翻建、重建时，</w:t>
      </w:r>
      <w:r>
        <w:rPr>
          <w:rFonts w:hint="eastAsia" w:ascii="Times New Roman" w:hAnsi="Times New Roman" w:eastAsia="仿宋_GB2312" w:cs="Times New Roman"/>
          <w:color w:val="auto"/>
          <w:sz w:val="32"/>
          <w:szCs w:val="32"/>
          <w:highlight w:val="none"/>
          <w:lang w:eastAsia="zh-CN"/>
        </w:rPr>
        <w:t>应</w:t>
      </w:r>
      <w:r>
        <w:rPr>
          <w:rFonts w:hint="default" w:ascii="Times New Roman" w:hAnsi="Times New Roman" w:eastAsia="仿宋_GB2312" w:cs="Times New Roman"/>
          <w:color w:val="auto"/>
          <w:sz w:val="32"/>
          <w:szCs w:val="32"/>
          <w:highlight w:val="none"/>
        </w:rPr>
        <w:t>按届时有效的规划执行。</w:t>
      </w:r>
    </w:p>
    <w:p w14:paraId="783CA35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第十九条 </w:t>
      </w:r>
      <w:r>
        <w:rPr>
          <w:rFonts w:hint="default" w:ascii="Times New Roman" w:hAnsi="Times New Roman" w:eastAsia="仿宋_GB2312" w:cs="Times New Roman"/>
          <w:color w:val="auto"/>
          <w:sz w:val="32"/>
          <w:szCs w:val="32"/>
          <w:highlight w:val="none"/>
        </w:rPr>
        <w:t xml:space="preserve"> 对受让人依法使用的国有建设用地使用权，在本合同约定的使用权期限届满前，出让人不得收回</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在特殊情况下，根据社会公共利益需要提前收回国有建设用地使用权的，出让人应当依照法定程序报批，并根据收回时地上建筑物、构筑物及其附属设施的价值和剩余年</w:t>
      </w:r>
      <w:r>
        <w:rPr>
          <w:rFonts w:hint="eastAsia" w:ascii="Times New Roman" w:hAnsi="Times New Roman" w:eastAsia="仿宋_GB2312" w:cs="Times New Roman"/>
          <w:color w:val="auto"/>
          <w:sz w:val="32"/>
          <w:szCs w:val="32"/>
          <w:highlight w:val="none"/>
          <w:lang w:eastAsia="zh-CN"/>
        </w:rPr>
        <w:t>限</w:t>
      </w:r>
      <w:r>
        <w:rPr>
          <w:rFonts w:hint="default" w:ascii="Times New Roman" w:hAnsi="Times New Roman" w:eastAsia="仿宋_GB2312" w:cs="Times New Roman"/>
          <w:color w:val="auto"/>
          <w:sz w:val="32"/>
          <w:szCs w:val="32"/>
          <w:highlight w:val="none"/>
        </w:rPr>
        <w:t>国有建设用地使用权的评估市场价格及经评估认定的直接损失给予土地使用者补偿。</w:t>
      </w:r>
    </w:p>
    <w:p w14:paraId="5D54F98A">
      <w:pPr>
        <w:pStyle w:val="4"/>
        <w:rPr>
          <w:rFonts w:hint="eastAsia"/>
          <w:color w:val="auto"/>
          <w:highlight w:val="none"/>
        </w:rPr>
      </w:pPr>
    </w:p>
    <w:p w14:paraId="6DE9C14A">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第四章  国有建设用地使用权转让、出租、抵押</w:t>
      </w:r>
    </w:p>
    <w:p w14:paraId="208BBBB2">
      <w:pPr>
        <w:pStyle w:val="4"/>
        <w:rPr>
          <w:rFonts w:hint="eastAsia"/>
          <w:color w:val="auto"/>
          <w:highlight w:val="none"/>
        </w:rPr>
      </w:pPr>
    </w:p>
    <w:p w14:paraId="54113A67">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bookmarkStart w:id="0" w:name="_Hlk112108682"/>
      <w:r>
        <w:rPr>
          <w:rFonts w:ascii="Times New Roman" w:hAnsi="Times New Roman" w:eastAsia="仿宋_GB2312" w:cs="Times New Roman"/>
          <w:color w:val="auto"/>
          <w:sz w:val="32"/>
          <w:szCs w:val="32"/>
          <w:highlight w:val="none"/>
        </w:rPr>
        <w:t>受让人按照本合同约定支付全部国有建设用地使用权出让价款，</w:t>
      </w:r>
      <w:r>
        <w:rPr>
          <w:rFonts w:hint="default" w:ascii="Times New Roman" w:hAnsi="Times New Roman" w:eastAsia="仿宋_GB2312" w:cs="Times New Roman"/>
          <w:b w:val="0"/>
          <w:bCs w:val="0"/>
          <w:color w:val="auto"/>
          <w:sz w:val="32"/>
          <w:szCs w:val="32"/>
          <w:highlight w:val="none"/>
          <w:lang w:val="en-US" w:eastAsia="zh-CN"/>
        </w:rPr>
        <w:t>办理不动产登记后</w:t>
      </w:r>
      <w:r>
        <w:rPr>
          <w:rFonts w:ascii="Times New Roman" w:hAnsi="Times New Roman" w:eastAsia="仿宋_GB2312" w:cs="Times New Roman"/>
          <w:color w:val="auto"/>
          <w:sz w:val="32"/>
          <w:szCs w:val="32"/>
          <w:highlight w:val="none"/>
        </w:rPr>
        <w:t>，有权将本合同项下的全部或部分国有建设用地使用权转让、出租、抵押。</w:t>
      </w:r>
      <w:bookmarkEnd w:id="0"/>
      <w:r>
        <w:rPr>
          <w:rFonts w:hint="default" w:ascii="Times New Roman" w:hAnsi="Times New Roman" w:eastAsia="仿宋_GB2312" w:cs="Times New Roman"/>
          <w:color w:val="auto"/>
          <w:sz w:val="32"/>
          <w:szCs w:val="32"/>
          <w:highlight w:val="none"/>
        </w:rPr>
        <w:t>首次转让的，应当符合以下第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第一项或第二项至少选其一，可多选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规定的条件:</w:t>
      </w:r>
    </w:p>
    <w:p w14:paraId="75B8AD22">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（一）按照本合同约定进行投资开发，完成开发投资总额的百分之二十五以上；</w:t>
      </w:r>
    </w:p>
    <w:p w14:paraId="4E229B28">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（二）按照本合同约定进行投资开发，已形成工业用地或其他建设用地条件；</w:t>
      </w:r>
    </w:p>
    <w:p w14:paraId="14A7F71D">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（三）</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ascii="Times New Roman" w:hAnsi="Times New Roman" w:eastAsia="仿宋_GB2312" w:cs="Times New Roman"/>
          <w:color w:val="auto"/>
          <w:sz w:val="32"/>
          <w:szCs w:val="32"/>
          <w:highlight w:val="none"/>
        </w:rPr>
        <w:t>。</w:t>
      </w:r>
    </w:p>
    <w:p w14:paraId="3939B8A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第二十一条</w:t>
      </w:r>
      <w:r>
        <w:rPr>
          <w:rFonts w:ascii="Times New Roman" w:hAnsi="Times New Roman" w:eastAsia="仿宋_GB2312" w:cs="Times New Roman"/>
          <w:color w:val="auto"/>
          <w:sz w:val="32"/>
          <w:szCs w:val="32"/>
          <w:highlight w:val="none"/>
        </w:rPr>
        <w:t xml:space="preserve">  国有建设用地使用权的转让、出租及抵押合同，不得违背国家法律、法规规定和本合同约定。</w:t>
      </w:r>
    </w:p>
    <w:p w14:paraId="0D71C69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第二十二条</w:t>
      </w:r>
      <w:r>
        <w:rPr>
          <w:rFonts w:ascii="Times New Roman" w:hAnsi="Times New Roman" w:eastAsia="仿宋_GB2312" w:cs="Times New Roman"/>
          <w:color w:val="auto"/>
          <w:sz w:val="32"/>
          <w:szCs w:val="32"/>
          <w:highlight w:val="none"/>
        </w:rPr>
        <w:t xml:space="preserve">  国有建设用地使用权全部或部分转让后，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中载明的权利、义务随之转移，国有建设用地使用权的使用年限为本合同约定的使用年限减去已经使用年限后的剩余年限。</w:t>
      </w:r>
    </w:p>
    <w:p w14:paraId="7A94D7B9">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本合同项下的全部或部分国有建设用地使用权出租后，</w:t>
      </w:r>
      <w:r>
        <w:rPr>
          <w:rFonts w:hint="default" w:ascii="Times New Roman" w:hAnsi="Times New Roman" w:eastAsia="仿宋_GB2312" w:cs="Times New Roman"/>
          <w:color w:val="auto"/>
          <w:sz w:val="32"/>
          <w:szCs w:val="32"/>
          <w:highlight w:val="none"/>
        </w:rPr>
        <w:t>本合同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不动产登记簿</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b w:val="0"/>
          <w:bCs w:val="0"/>
          <w:color w:val="auto"/>
          <w:sz w:val="32"/>
          <w:szCs w:val="32"/>
          <w:highlight w:val="none"/>
          <w:lang w:eastAsia="zh-CN"/>
        </w:rPr>
        <w:t>不动产权证书</w:t>
      </w:r>
      <w:r>
        <w:rPr>
          <w:rFonts w:ascii="Times New Roman" w:hAnsi="Times New Roman" w:eastAsia="仿宋_GB2312" w:cs="Times New Roman"/>
          <w:color w:val="auto"/>
          <w:sz w:val="32"/>
          <w:szCs w:val="32"/>
          <w:highlight w:val="none"/>
        </w:rPr>
        <w:t>中载明的权利、义务仍由受让人承担。</w:t>
      </w:r>
    </w:p>
    <w:p w14:paraId="2F60AAE0">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第二十三条 </w:t>
      </w:r>
      <w:r>
        <w:rPr>
          <w:rFonts w:ascii="Times New Roman" w:hAnsi="Times New Roman" w:eastAsia="仿宋_GB2312" w:cs="Times New Roman"/>
          <w:color w:val="auto"/>
          <w:sz w:val="32"/>
          <w:szCs w:val="32"/>
          <w:highlight w:val="none"/>
        </w:rPr>
        <w:t xml:space="preserve"> 国有建设用地使用权转让、抵押的，转让、抵押双方应持本合同和相应的转让、抵押合同及</w:t>
      </w:r>
      <w:r>
        <w:rPr>
          <w:rFonts w:hint="default" w:ascii="Times New Roman" w:hAnsi="Times New Roman" w:eastAsia="仿宋_GB2312" w:cs="Times New Roman"/>
          <w:color w:val="auto"/>
          <w:sz w:val="32"/>
          <w:szCs w:val="32"/>
          <w:highlight w:val="none"/>
        </w:rPr>
        <w:t>不动产权证书</w:t>
      </w:r>
      <w:r>
        <w:rPr>
          <w:rFonts w:ascii="Times New Roman" w:hAnsi="Times New Roman" w:eastAsia="仿宋_GB2312" w:cs="Times New Roman"/>
          <w:color w:val="auto"/>
          <w:sz w:val="32"/>
          <w:szCs w:val="32"/>
          <w:highlight w:val="none"/>
        </w:rPr>
        <w:t>，到自然资源</w:t>
      </w:r>
      <w:r>
        <w:rPr>
          <w:rFonts w:hint="default" w:ascii="Times New Roman" w:hAnsi="Times New Roman" w:eastAsia="仿宋_GB2312" w:cs="Times New Roman"/>
          <w:color w:val="auto"/>
          <w:sz w:val="32"/>
          <w:szCs w:val="32"/>
          <w:highlight w:val="none"/>
          <w:lang w:eastAsia="zh-CN"/>
        </w:rPr>
        <w:t>主管</w:t>
      </w:r>
      <w:r>
        <w:rPr>
          <w:rFonts w:ascii="Times New Roman" w:hAnsi="Times New Roman" w:eastAsia="仿宋_GB2312" w:cs="Times New Roman"/>
          <w:color w:val="auto"/>
          <w:sz w:val="32"/>
          <w:szCs w:val="32"/>
          <w:highlight w:val="none"/>
        </w:rPr>
        <w:t>部门申请办理</w:t>
      </w:r>
      <w:r>
        <w:rPr>
          <w:rFonts w:hint="default" w:ascii="Times New Roman" w:hAnsi="Times New Roman" w:eastAsia="仿宋_GB2312" w:cs="Times New Roman"/>
          <w:color w:val="auto"/>
          <w:sz w:val="32"/>
          <w:szCs w:val="32"/>
          <w:highlight w:val="none"/>
        </w:rPr>
        <w:t>相应的不动产登记</w:t>
      </w:r>
      <w:r>
        <w:rPr>
          <w:rFonts w:ascii="Times New Roman" w:hAnsi="Times New Roman" w:eastAsia="仿宋_GB2312" w:cs="Times New Roman"/>
          <w:color w:val="auto"/>
          <w:sz w:val="32"/>
          <w:szCs w:val="32"/>
          <w:highlight w:val="none"/>
        </w:rPr>
        <w:t>。</w:t>
      </w:r>
    </w:p>
    <w:p w14:paraId="2D22AC72">
      <w:pPr>
        <w:pStyle w:val="4"/>
        <w:rPr>
          <w:rFonts w:hint="eastAsia"/>
          <w:color w:val="auto"/>
          <w:highlight w:val="none"/>
        </w:rPr>
      </w:pPr>
    </w:p>
    <w:p w14:paraId="7CFC8CA6">
      <w:pPr>
        <w:keepNext w:val="0"/>
        <w:keepLines w:val="0"/>
        <w:pageBreakBefore w:val="0"/>
        <w:widowControl w:val="0"/>
        <w:kinsoku/>
        <w:wordWrap/>
        <w:overflowPunct/>
        <w:topLinePunct w:val="0"/>
        <w:autoSpaceDE/>
        <w:autoSpaceDN/>
        <w:bidi w:val="0"/>
        <w:adjustRightInd/>
        <w:spacing w:line="66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第五章  期限届满</w:t>
      </w:r>
    </w:p>
    <w:p w14:paraId="3DAD6AD8">
      <w:pPr>
        <w:pStyle w:val="4"/>
        <w:rPr>
          <w:rFonts w:hint="eastAsia"/>
          <w:color w:val="auto"/>
          <w:highlight w:val="none"/>
        </w:rPr>
      </w:pPr>
    </w:p>
    <w:p w14:paraId="19DD8AD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第二十四条</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本合同约定的使用权期限届满，土地使用者需要继续使用本合同项下宗地的，本合同有约定的，按照约定履行；本合同没有约定的，应当</w:t>
      </w:r>
      <w:r>
        <w:rPr>
          <w:rFonts w:hint="eastAsia" w:ascii="Times New Roman" w:hAnsi="Times New Roman" w:eastAsia="仿宋_GB2312" w:cs="Times New Roman"/>
          <w:color w:val="auto"/>
          <w:sz w:val="32"/>
          <w:szCs w:val="32"/>
          <w:highlight w:val="none"/>
          <w:lang w:eastAsia="zh-CN"/>
        </w:rPr>
        <w:t>依法在规定时间内提出续期申请</w:t>
      </w:r>
      <w:r>
        <w:rPr>
          <w:rFonts w:hint="default" w:ascii="Times New Roman" w:hAnsi="Times New Roman" w:eastAsia="仿宋_GB2312" w:cs="Times New Roman"/>
          <w:color w:val="auto"/>
          <w:sz w:val="32"/>
          <w:szCs w:val="32"/>
          <w:highlight w:val="none"/>
        </w:rPr>
        <w:t>。</w:t>
      </w:r>
    </w:p>
    <w:p w14:paraId="441856A7">
      <w:pPr>
        <w:spacing w:line="60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住宅建设用地使用权期限届满的，自动续期。续期费用的缴纳或者减免，依照法律、行政法规的规定办理。</w:t>
      </w:r>
    </w:p>
    <w:p w14:paraId="65E37C53">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非住宅建设用地使用权期限届满后的续期，依照法律规定办理。出让人同意续期的，土地使用者应当依法办理</w:t>
      </w:r>
      <w:r>
        <w:rPr>
          <w:rFonts w:hint="eastAsia" w:ascii="Times New Roman" w:hAnsi="Times New Roman" w:eastAsia="仿宋_GB2312" w:cs="Times New Roman"/>
          <w:color w:val="auto"/>
          <w:sz w:val="32"/>
          <w:szCs w:val="32"/>
          <w:highlight w:val="none"/>
          <w:lang w:eastAsia="zh-CN"/>
        </w:rPr>
        <w:t>续期</w:t>
      </w:r>
      <w:r>
        <w:rPr>
          <w:rFonts w:hint="default" w:ascii="Times New Roman" w:hAnsi="Times New Roman" w:eastAsia="仿宋_GB2312" w:cs="Times New Roman"/>
          <w:color w:val="auto"/>
          <w:sz w:val="32"/>
          <w:szCs w:val="32"/>
          <w:highlight w:val="none"/>
        </w:rPr>
        <w:t>手续，重新签订土地有偿使用合同，</w:t>
      </w:r>
      <w:r>
        <w:rPr>
          <w:rFonts w:hint="eastAsia" w:ascii="Times New Roman" w:hAnsi="Times New Roman" w:eastAsia="仿宋_GB2312" w:cs="Times New Roman"/>
          <w:color w:val="auto"/>
          <w:sz w:val="32"/>
          <w:szCs w:val="32"/>
          <w:highlight w:val="none"/>
          <w:lang w:eastAsia="zh-CN"/>
        </w:rPr>
        <w:t>缴纳续期费用</w:t>
      </w:r>
      <w:r>
        <w:rPr>
          <w:rFonts w:hint="default" w:ascii="Times New Roman" w:hAnsi="Times New Roman" w:eastAsia="仿宋_GB2312" w:cs="Times New Roman"/>
          <w:color w:val="auto"/>
          <w:sz w:val="32"/>
          <w:szCs w:val="32"/>
          <w:highlight w:val="none"/>
        </w:rPr>
        <w:t>。</w:t>
      </w:r>
    </w:p>
    <w:p w14:paraId="380770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第二十五条 </w:t>
      </w:r>
      <w:r>
        <w:rPr>
          <w:rFonts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土地出让期限届满，土地使用者申请续期，因社会公共利益需要未获批准的，土地使用者应当依照规定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，国有建设用地使用权由出让人无偿收回。出让人和土地使用者同意本合同项下宗地上的建筑物、构筑物及其附属设施，按本条第</w:t>
      </w:r>
      <w:r>
        <w:rPr>
          <w:rFonts w:hint="eastAsia" w:ascii="Times New Roman" w:hAnsi="Times New Roman" w:eastAsia="仿宋_GB2312" w:cs="Times New Roman"/>
          <w:color w:val="auto"/>
          <w:sz w:val="32"/>
          <w:szCs w:val="32"/>
          <w:highlight w:val="none"/>
          <w:u w:val="single"/>
          <w:lang w:val="en-US" w:eastAsia="zh-CN"/>
        </w:rPr>
        <w:t>（一）</w:t>
      </w:r>
      <w:r>
        <w:rPr>
          <w:rFonts w:hint="default" w:ascii="Times New Roman" w:hAnsi="Times New Roman" w:eastAsia="仿宋_GB2312" w:cs="Times New Roman"/>
          <w:color w:val="auto"/>
          <w:sz w:val="32"/>
          <w:szCs w:val="32"/>
          <w:highlight w:val="none"/>
        </w:rPr>
        <w:t>项约定履行：</w:t>
      </w:r>
    </w:p>
    <w:p w14:paraId="6D0CD83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由出让人收回地上建筑物、构筑物及其附属设施，并根据收回时地上建筑物、构筑物及其附属设施的残余价值，给予土地使用者相应补偿;</w:t>
      </w:r>
    </w:p>
    <w:p w14:paraId="0374FDD5">
      <w:pPr>
        <w:numPr>
          <w:ilvl w:val="0"/>
          <w:numId w:val="1"/>
        </w:num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由出让人无偿收回地上建筑物、构筑物及其附属设施。</w:t>
      </w:r>
    </w:p>
    <w:p w14:paraId="0B1728D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第二十六条</w:t>
      </w:r>
      <w:r>
        <w:rPr>
          <w:rFonts w:hint="default" w:ascii="Times New Roman" w:hAnsi="Times New Roman" w:eastAsia="仿宋_GB2312" w:cs="Times New Roman"/>
          <w:color w:val="auto"/>
          <w:sz w:val="32"/>
          <w:szCs w:val="32"/>
          <w:highlight w:val="none"/>
        </w:rPr>
        <w:t xml:space="preserve">  土地出让期限届满，土地使用者没有申请续期的，土地使用者应当依照规定</w:t>
      </w:r>
      <w:r>
        <w:rPr>
          <w:rFonts w:hint="default" w:ascii="Times New Roman" w:hAnsi="Times New Roman" w:eastAsia="仿宋_GB2312" w:cs="Times New Roman"/>
          <w:b w:val="0"/>
          <w:bCs w:val="0"/>
          <w:color w:val="auto"/>
          <w:sz w:val="32"/>
          <w:szCs w:val="32"/>
          <w:highlight w:val="none"/>
          <w:lang w:eastAsia="zh-CN"/>
        </w:rPr>
        <w:t>申请办理</w:t>
      </w:r>
      <w:r>
        <w:rPr>
          <w:rFonts w:hint="default" w:ascii="Times New Roman" w:hAnsi="Times New Roman" w:eastAsia="仿宋_GB2312" w:cs="Times New Roman"/>
          <w:b w:val="0"/>
          <w:bCs w:val="0"/>
          <w:color w:val="auto"/>
          <w:sz w:val="32"/>
          <w:szCs w:val="32"/>
          <w:highlight w:val="none"/>
        </w:rPr>
        <w:t>国有建设用地使用权注销登记</w:t>
      </w:r>
      <w:r>
        <w:rPr>
          <w:rFonts w:hint="default" w:ascii="Times New Roman" w:hAnsi="Times New Roman" w:eastAsia="仿宋_GB2312" w:cs="Times New Roman"/>
          <w:b w:val="0"/>
          <w:bCs w:val="0"/>
          <w:color w:val="auto"/>
          <w:sz w:val="32"/>
          <w:szCs w:val="32"/>
          <w:highlight w:val="none"/>
          <w:lang w:eastAsia="zh-CN"/>
        </w:rPr>
        <w:t>，并交回不动产权证书</w:t>
      </w:r>
      <w:r>
        <w:rPr>
          <w:rFonts w:hint="default" w:ascii="Times New Roman" w:hAnsi="Times New Roman" w:eastAsia="仿宋_GB2312" w:cs="Times New Roman"/>
          <w:color w:val="auto"/>
          <w:sz w:val="32"/>
          <w:szCs w:val="32"/>
          <w:highlight w:val="none"/>
        </w:rPr>
        <w:t>，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14:paraId="587D1F3C">
      <w:pPr>
        <w:pStyle w:val="4"/>
        <w:rPr>
          <w:rFonts w:hint="eastAsia"/>
          <w:color w:val="auto"/>
          <w:highlight w:val="none"/>
        </w:rPr>
      </w:pPr>
    </w:p>
    <w:p w14:paraId="481491F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第六章  不可抗力</w:t>
      </w:r>
    </w:p>
    <w:p w14:paraId="67FD575C">
      <w:pPr>
        <w:pStyle w:val="4"/>
        <w:rPr>
          <w:rFonts w:hint="eastAsia"/>
          <w:color w:val="auto"/>
          <w:highlight w:val="none"/>
        </w:rPr>
      </w:pPr>
    </w:p>
    <w:p w14:paraId="2F8FA74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第二十七条</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合同双方当事人一方因不可抗力不能履行合同的，根据不可抗力的影响，部分或者全部免除责任，但法律另有规定的除外。因不可抗力不能履行合同的，应当及时通知对方，以减轻可能给对方造成的损失，并应当在合理期限内提供证明。当事人迟延履行后发生不可抗力的，不免除其违约责任。</w:t>
      </w:r>
    </w:p>
    <w:p w14:paraId="07B2E9C2">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第二十八条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遇有不可抗力的一方，应在7日内将不可抗力情况以信函、电报、传真等书面形式通知另一方，并在不可抗力发生后15日内，向另一方提交本合同部分或全部不能履行或需要延期履行的报告及证明。</w:t>
      </w:r>
    </w:p>
    <w:p w14:paraId="016FCF8C">
      <w:pPr>
        <w:pStyle w:val="4"/>
        <w:rPr>
          <w:rFonts w:hint="eastAsia"/>
          <w:color w:val="auto"/>
          <w:highlight w:val="none"/>
        </w:rPr>
      </w:pPr>
    </w:p>
    <w:p w14:paraId="53FD673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第七章  违约责任</w:t>
      </w:r>
    </w:p>
    <w:p w14:paraId="65A0B20D">
      <w:pPr>
        <w:pStyle w:val="4"/>
        <w:rPr>
          <w:rFonts w:hint="eastAsia"/>
          <w:color w:val="auto"/>
          <w:highlight w:val="none"/>
        </w:rPr>
      </w:pPr>
    </w:p>
    <w:p w14:paraId="38163EA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第二十九条 </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受让人应当按照本合同约定，按时支付国有建设用地使用权出让价款。受让人不能按时支付国有建设用地使用权出让价款的，自</w:t>
      </w:r>
      <w:r>
        <w:rPr>
          <w:rFonts w:hint="eastAsia" w:ascii="Times New Roman" w:hAnsi="Times New Roman" w:eastAsia="仿宋_GB2312" w:cs="Times New Roman"/>
          <w:color w:val="auto"/>
          <w:sz w:val="32"/>
          <w:szCs w:val="32"/>
          <w:highlight w:val="none"/>
          <w:lang w:eastAsia="zh-CN"/>
        </w:rPr>
        <w:t>迟延支付</w:t>
      </w:r>
      <w:r>
        <w:rPr>
          <w:rFonts w:ascii="Times New Roman" w:hAnsi="Times New Roman" w:eastAsia="仿宋_GB2312" w:cs="Times New Roman"/>
          <w:color w:val="auto"/>
          <w:sz w:val="32"/>
          <w:szCs w:val="32"/>
          <w:highlight w:val="none"/>
        </w:rPr>
        <w:t>之日起，每日按迟延支付款项的</w:t>
      </w:r>
      <w:r>
        <w:rPr>
          <w:rFonts w:hint="eastAsia" w:ascii="Times New Roman" w:hAnsi="Times New Roman" w:eastAsia="仿宋_GB2312" w:cs="Times New Roman"/>
          <w:color w:val="auto"/>
          <w:sz w:val="32"/>
          <w:szCs w:val="32"/>
          <w:highlight w:val="none"/>
          <w:u w:val="single"/>
          <w:lang w:val="en-US" w:eastAsia="zh-CN"/>
        </w:rPr>
        <w:t xml:space="preserve">  1  </w:t>
      </w:r>
      <w:r>
        <w:rPr>
          <w:rFonts w:ascii="Times New Roman" w:hAnsi="Times New Roman" w:eastAsia="仿宋_GB2312" w:cs="Times New Roman"/>
          <w:color w:val="auto"/>
          <w:sz w:val="32"/>
          <w:szCs w:val="32"/>
          <w:highlight w:val="none"/>
        </w:rPr>
        <w:t>‰向出让人缴纳违约金，延期付款超过60日，经出让人催</w:t>
      </w:r>
      <w:r>
        <w:rPr>
          <w:rFonts w:hint="eastAsia" w:ascii="Times New Roman" w:hAnsi="Times New Roman" w:eastAsia="仿宋_GB2312" w:cs="Times New Roman"/>
          <w:color w:val="auto"/>
          <w:sz w:val="32"/>
          <w:szCs w:val="32"/>
          <w:highlight w:val="none"/>
          <w:lang w:eastAsia="zh-CN"/>
        </w:rPr>
        <w:t>缴</w:t>
      </w:r>
      <w:r>
        <w:rPr>
          <w:rFonts w:ascii="Times New Roman" w:hAnsi="Times New Roman" w:eastAsia="仿宋_GB2312" w:cs="Times New Roman"/>
          <w:color w:val="auto"/>
          <w:sz w:val="32"/>
          <w:szCs w:val="32"/>
          <w:highlight w:val="none"/>
        </w:rPr>
        <w:t>后仍不能支付国有建设用地使用权出让价款的，出让人有权解除合同，受让人无权要求返还定金，</w:t>
      </w:r>
      <w:r>
        <w:rPr>
          <w:rFonts w:hint="default" w:ascii="Times New Roman" w:hAnsi="Times New Roman" w:eastAsia="仿宋_GB2312" w:cs="Times New Roman"/>
          <w:color w:val="auto"/>
          <w:sz w:val="32"/>
          <w:szCs w:val="32"/>
          <w:highlight w:val="none"/>
          <w:lang w:eastAsia="zh-CN"/>
        </w:rPr>
        <w:t>定金数额不足以弥补因受让人违约造成的损失的，</w:t>
      </w:r>
      <w:r>
        <w:rPr>
          <w:rFonts w:ascii="Times New Roman" w:hAnsi="Times New Roman" w:eastAsia="仿宋_GB2312" w:cs="Times New Roman"/>
          <w:color w:val="auto"/>
          <w:sz w:val="32"/>
          <w:szCs w:val="32"/>
          <w:highlight w:val="none"/>
        </w:rPr>
        <w:t>出让人</w:t>
      </w:r>
      <w:r>
        <w:rPr>
          <w:rFonts w:hint="default" w:ascii="Times New Roman" w:hAnsi="Times New Roman" w:eastAsia="仿宋_GB2312" w:cs="Times New Roman"/>
          <w:color w:val="auto"/>
          <w:sz w:val="32"/>
          <w:szCs w:val="32"/>
          <w:highlight w:val="none"/>
          <w:lang w:eastAsia="zh-CN"/>
        </w:rPr>
        <w:t>可以</w:t>
      </w:r>
      <w:r>
        <w:rPr>
          <w:rFonts w:ascii="Times New Roman" w:hAnsi="Times New Roman" w:eastAsia="仿宋_GB2312" w:cs="Times New Roman"/>
          <w:color w:val="auto"/>
          <w:sz w:val="32"/>
          <w:szCs w:val="32"/>
          <w:highlight w:val="none"/>
        </w:rPr>
        <w:t>请求受让人赔偿</w:t>
      </w:r>
      <w:r>
        <w:rPr>
          <w:rFonts w:hint="default" w:ascii="Times New Roman" w:hAnsi="Times New Roman" w:eastAsia="仿宋_GB2312" w:cs="Times New Roman"/>
          <w:color w:val="auto"/>
          <w:sz w:val="32"/>
          <w:szCs w:val="32"/>
          <w:highlight w:val="none"/>
          <w:lang w:eastAsia="zh-CN"/>
        </w:rPr>
        <w:t>超过定金数额的损失</w:t>
      </w:r>
      <w:r>
        <w:rPr>
          <w:rFonts w:ascii="Times New Roman" w:hAnsi="Times New Roman" w:eastAsia="仿宋_GB2312" w:cs="Times New Roman"/>
          <w:color w:val="auto"/>
          <w:sz w:val="32"/>
          <w:szCs w:val="32"/>
          <w:highlight w:val="none"/>
        </w:rPr>
        <w:t>。</w:t>
      </w:r>
    </w:p>
    <w:p w14:paraId="143883FD">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第三十条 </w:t>
      </w:r>
      <w:r>
        <w:rPr>
          <w:rFonts w:ascii="Times New Roman" w:hAnsi="Times New Roman" w:eastAsia="仿宋_GB2312" w:cs="Times New Roman"/>
          <w:b/>
          <w:bCs/>
          <w:color w:val="auto"/>
          <w:sz w:val="32"/>
          <w:szCs w:val="32"/>
          <w:highlight w:val="none"/>
        </w:rPr>
        <w:t xml:space="preserve"> </w:t>
      </w:r>
      <w:r>
        <w:rPr>
          <w:rFonts w:ascii="Times New Roman" w:hAnsi="Times New Roman" w:eastAsia="仿宋_GB2312" w:cs="Times New Roman"/>
          <w:color w:val="auto"/>
          <w:sz w:val="32"/>
          <w:szCs w:val="32"/>
          <w:highlight w:val="none"/>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14:paraId="07B30B4B">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（一）受让人在本合同约定的开工建设日期届满一年前不少于60日向出让人提出申请的，出让人在扣除定金后退还受让人已支付的国有建设用地使用权出让价款；</w:t>
      </w:r>
    </w:p>
    <w:p w14:paraId="34D22724">
      <w:p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14:paraId="57D2E87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第三十一条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受让人应当按照本合同约定动工开发。</w:t>
      </w:r>
    </w:p>
    <w:p w14:paraId="765BD4FB">
      <w:pPr>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受让人未按照本合同约定动工开发，</w:t>
      </w:r>
      <w:r>
        <w:rPr>
          <w:rFonts w:hint="default" w:ascii="Times New Roman" w:hAnsi="Times New Roman" w:eastAsia="仿宋_GB2312" w:cs="Times New Roman"/>
          <w:color w:val="auto"/>
          <w:sz w:val="32"/>
          <w:szCs w:val="32"/>
          <w:highlight w:val="none"/>
        </w:rPr>
        <w:t>涉嫌闲置土地的，应履行配合调查义务；造成闲置土地的，应依法</w:t>
      </w:r>
      <w:r>
        <w:rPr>
          <w:rFonts w:hint="default" w:ascii="Times New Roman" w:hAnsi="Times New Roman" w:eastAsia="仿宋_GB2312" w:cs="Times New Roman"/>
          <w:color w:val="auto"/>
          <w:sz w:val="32"/>
          <w:szCs w:val="32"/>
          <w:highlight w:val="none"/>
          <w:lang w:eastAsia="zh-CN"/>
        </w:rPr>
        <w:t>依规</w:t>
      </w:r>
      <w:r>
        <w:rPr>
          <w:rFonts w:hint="default" w:ascii="Times New Roman" w:hAnsi="Times New Roman" w:eastAsia="仿宋_GB2312" w:cs="Times New Roman"/>
          <w:color w:val="auto"/>
          <w:sz w:val="32"/>
          <w:szCs w:val="32"/>
          <w:highlight w:val="none"/>
        </w:rPr>
        <w:t>予以处置。</w:t>
      </w:r>
    </w:p>
    <w:p w14:paraId="0AC5CED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第三十二条</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受让人未能按照本合同约定日期或同意延建所另行约定日期开工建设但不超过一年的，每延期一日，应向出让人支付相当于国有建设用地使用权出让价款总额</w:t>
      </w:r>
      <w:r>
        <w:rPr>
          <w:rFonts w:hint="eastAsia" w:ascii="Times New Roman" w:hAnsi="Times New Roman" w:eastAsia="仿宋_GB2312" w:cs="Times New Roman"/>
          <w:color w:val="auto"/>
          <w:sz w:val="32"/>
          <w:szCs w:val="32"/>
          <w:highlight w:val="none"/>
          <w:u w:val="single"/>
          <w:lang w:val="en-US" w:eastAsia="zh-CN"/>
        </w:rPr>
        <w:t xml:space="preserve">1 </w:t>
      </w:r>
      <w:r>
        <w:rPr>
          <w:rFonts w:hint="default" w:ascii="Times New Roman" w:hAnsi="Times New Roman" w:eastAsia="仿宋_GB2312" w:cs="Times New Roman"/>
          <w:color w:val="auto"/>
          <w:sz w:val="32"/>
          <w:szCs w:val="32"/>
          <w:highlight w:val="none"/>
        </w:rPr>
        <w:t>‰的违约金，出让人有权要求受让人继续履约。</w:t>
      </w:r>
    </w:p>
    <w:p w14:paraId="095FBE04">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受让人未能按照本合同约定日期或同意延建所另行约定日期竣工的，每延期一日，应向出让人支付相当于未竣工计容建筑面积对应国有建设用地使用权出让价款</w:t>
      </w:r>
      <w:r>
        <w:rPr>
          <w:rFonts w:hint="eastAsia" w:ascii="Times New Roman" w:hAnsi="Times New Roman" w:eastAsia="仿宋_GB2312" w:cs="Times New Roman"/>
          <w:color w:val="auto"/>
          <w:sz w:val="32"/>
          <w:szCs w:val="32"/>
          <w:highlight w:val="none"/>
          <w:u w:val="single"/>
          <w:lang w:val="en-US" w:eastAsia="zh-CN"/>
        </w:rPr>
        <w:t xml:space="preserve">  1   </w:t>
      </w:r>
      <w:r>
        <w:rPr>
          <w:rFonts w:hint="default" w:ascii="Times New Roman" w:hAnsi="Times New Roman" w:eastAsia="仿宋_GB2312" w:cs="Times New Roman"/>
          <w:color w:val="auto"/>
          <w:sz w:val="32"/>
          <w:szCs w:val="32"/>
          <w:highlight w:val="none"/>
        </w:rPr>
        <w:t>‰的违约金。</w:t>
      </w:r>
    </w:p>
    <w:p w14:paraId="6FBAAF16">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第三十三条 </w:t>
      </w:r>
      <w:bookmarkStart w:id="1" w:name="_Hlk132188028"/>
      <w:r>
        <w:rPr>
          <w:rFonts w:hint="eastAsia"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受让人按本合同约定支付国有建设用地使用权出让价款的，出让人必须按照本合同约定按时交付出让土地。由于</w:t>
      </w:r>
      <w:r>
        <w:rPr>
          <w:rFonts w:hint="default" w:ascii="Times New Roman" w:hAnsi="Times New Roman" w:eastAsia="仿宋_GB2312" w:cs="Times New Roman"/>
          <w:color w:val="auto"/>
          <w:sz w:val="32"/>
          <w:szCs w:val="32"/>
          <w:highlight w:val="none"/>
        </w:rPr>
        <w:t>出让人未按时交付出让土地或者交付的土地不符合本合同约定的条件而致使受让人本合同项下宗地占有延期的，每延期一日，出让人应当按受让人已经支付的国有建设用地使用权出让价款的</w:t>
      </w:r>
      <w:r>
        <w:rPr>
          <w:rFonts w:hint="eastAsia" w:ascii="Times New Roman" w:hAnsi="Times New Roman" w:eastAsia="仿宋_GB2312" w:cs="Times New Roman"/>
          <w:color w:val="auto"/>
          <w:sz w:val="32"/>
          <w:szCs w:val="32"/>
          <w:highlight w:val="none"/>
          <w:u w:val="single"/>
          <w:lang w:val="en-US" w:eastAsia="zh-CN"/>
        </w:rPr>
        <w:t xml:space="preserve">  /  </w:t>
      </w:r>
      <w:r>
        <w:rPr>
          <w:rFonts w:hint="default" w:ascii="Times New Roman" w:hAnsi="Times New Roman" w:eastAsia="仿宋_GB2312" w:cs="Times New Roman"/>
          <w:color w:val="auto"/>
          <w:sz w:val="32"/>
          <w:szCs w:val="32"/>
          <w:highlight w:val="none"/>
        </w:rPr>
        <w:t>‰向受让人给付违约金，土地使用权期限自实际交付土地之日起算。出让人延期交付土地超过60日，经受让人催交后仍不能交付土地的，受让人有权解除合同，出让人应当双倍返还定金，并退还已经支付国有建设用地使用权出让价款的其余部分，</w:t>
      </w:r>
      <w:r>
        <w:rPr>
          <w:rFonts w:hint="default" w:ascii="Times New Roman" w:hAnsi="Times New Roman" w:eastAsia="仿宋_GB2312" w:cs="Times New Roman"/>
          <w:color w:val="auto"/>
          <w:sz w:val="32"/>
          <w:szCs w:val="32"/>
          <w:highlight w:val="none"/>
          <w:lang w:eastAsia="zh-CN"/>
        </w:rPr>
        <w:t>定金数额不足以弥补因出让人违约造成的损失的，受让人可以请求出让人赔偿超过定金数额的损失</w:t>
      </w:r>
      <w:r>
        <w:rPr>
          <w:rFonts w:hint="default" w:ascii="Times New Roman" w:hAnsi="Times New Roman" w:eastAsia="仿宋_GB2312" w:cs="Times New Roman"/>
          <w:color w:val="auto"/>
          <w:sz w:val="32"/>
          <w:szCs w:val="32"/>
          <w:highlight w:val="none"/>
        </w:rPr>
        <w:t>。</w:t>
      </w:r>
      <w:bookmarkEnd w:id="1"/>
    </w:p>
    <w:p w14:paraId="31EBED7B">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第三十四条 </w:t>
      </w:r>
      <w:r>
        <w:rPr>
          <w:rFonts w:ascii="Times New Roman" w:hAnsi="Times New Roman" w:eastAsia="仿宋_GB2312" w:cs="Times New Roman"/>
          <w:color w:val="auto"/>
          <w:sz w:val="32"/>
          <w:szCs w:val="32"/>
          <w:highlight w:val="none"/>
        </w:rPr>
        <w:t xml:space="preserve"> 出让人未能按期交付土地或交付的土地未能达到本合同约定的土地条件或单方改变土地使用条件的，受让人有权要求出让人按照规定的条件履行义务，并且赔偿延误履行而给受让人造成的直接损失。土地使用</w:t>
      </w:r>
      <w:r>
        <w:rPr>
          <w:rFonts w:hint="default" w:ascii="Times New Roman" w:hAnsi="Times New Roman" w:eastAsia="仿宋_GB2312" w:cs="Times New Roman"/>
          <w:color w:val="auto"/>
          <w:sz w:val="32"/>
          <w:szCs w:val="32"/>
          <w:highlight w:val="none"/>
          <w:lang w:eastAsia="zh-CN"/>
        </w:rPr>
        <w:t>权</w:t>
      </w:r>
      <w:r>
        <w:rPr>
          <w:rFonts w:ascii="Times New Roman" w:hAnsi="Times New Roman" w:eastAsia="仿宋_GB2312" w:cs="Times New Roman"/>
          <w:color w:val="auto"/>
          <w:sz w:val="32"/>
          <w:szCs w:val="32"/>
          <w:highlight w:val="none"/>
        </w:rPr>
        <w:t>期限自达到约定的土地条件之日起算。</w:t>
      </w:r>
    </w:p>
    <w:p w14:paraId="34526479">
      <w:pPr>
        <w:pStyle w:val="4"/>
        <w:rPr>
          <w:rFonts w:hint="eastAsia"/>
          <w:color w:val="auto"/>
          <w:highlight w:val="none"/>
        </w:rPr>
      </w:pPr>
    </w:p>
    <w:p w14:paraId="3DCBEF7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第八章  适用法律及争议解决</w:t>
      </w:r>
    </w:p>
    <w:p w14:paraId="70FEAB31">
      <w:pPr>
        <w:pStyle w:val="4"/>
        <w:rPr>
          <w:rFonts w:hint="eastAsia"/>
          <w:color w:val="auto"/>
          <w:highlight w:val="none"/>
        </w:rPr>
      </w:pPr>
    </w:p>
    <w:p w14:paraId="5D636FFF">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第三十五条 </w:t>
      </w:r>
      <w:r>
        <w:rPr>
          <w:rFonts w:hint="default" w:ascii="Times New Roman" w:hAnsi="Times New Roman" w:eastAsia="仿宋_GB2312" w:cs="Times New Roman"/>
          <w:color w:val="auto"/>
          <w:sz w:val="32"/>
          <w:szCs w:val="32"/>
          <w:highlight w:val="none"/>
        </w:rPr>
        <w:t xml:space="preserve"> 本合同订立、效力、解释、履行及争议的解决，适用中华人民共和国法律。</w:t>
      </w:r>
    </w:p>
    <w:p w14:paraId="12CB5BFB">
      <w:pPr>
        <w:spacing w:line="600" w:lineRule="exact"/>
        <w:ind w:firstLine="643"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第三十六条 </w:t>
      </w:r>
      <w:r>
        <w:rPr>
          <w:rFonts w:hint="default" w:ascii="Times New Roman" w:hAnsi="Times New Roman" w:eastAsia="仿宋_GB2312" w:cs="Times New Roman"/>
          <w:color w:val="auto"/>
          <w:sz w:val="32"/>
          <w:szCs w:val="32"/>
          <w:highlight w:val="none"/>
        </w:rPr>
        <w:t xml:space="preserve"> 因履行本合同发生争议，争议双方可以通过和解、调解等途径解决，和解、调解不成的，按本条第</w:t>
      </w:r>
      <w:r>
        <w:rPr>
          <w:rFonts w:hint="eastAsia" w:ascii="Times New Roman" w:hAnsi="Times New Roman" w:eastAsia="仿宋_GB2312" w:cs="Times New Roman"/>
          <w:color w:val="auto"/>
          <w:sz w:val="32"/>
          <w:szCs w:val="32"/>
          <w:highlight w:val="none"/>
          <w:u w:val="single"/>
          <w:lang w:eastAsia="zh-CN"/>
        </w:rPr>
        <w:t>（二）</w:t>
      </w:r>
      <w:r>
        <w:rPr>
          <w:rFonts w:hint="default" w:ascii="Times New Roman" w:hAnsi="Times New Roman" w:eastAsia="仿宋_GB2312" w:cs="Times New Roman"/>
          <w:color w:val="auto"/>
          <w:sz w:val="32"/>
          <w:szCs w:val="32"/>
          <w:highlight w:val="none"/>
        </w:rPr>
        <w:t>项约定的方式解决：</w:t>
      </w:r>
    </w:p>
    <w:p w14:paraId="53B4405E">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（一）提交</w:t>
      </w:r>
      <w:r>
        <w:rPr>
          <w:rFonts w:hint="eastAsia" w:ascii="仿宋_GB2312" w:hAnsi="宋体" w:eastAsia="仿宋_GB2312" w:cs="仿宋_GB2312"/>
          <w:strike/>
          <w:kern w:val="0"/>
          <w:sz w:val="32"/>
          <w:szCs w:val="32"/>
          <w:highlight w:val="none"/>
          <w:u w:val="single"/>
        </w:rPr>
        <w:t xml:space="preserve">       </w:t>
      </w:r>
      <w:r>
        <w:rPr>
          <w:rFonts w:hint="eastAsia" w:ascii="仿宋_GB2312" w:hAnsi="宋体" w:eastAsia="仿宋_GB2312" w:cs="仿宋_GB2312"/>
          <w:strike/>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仲裁委员会仲裁;</w:t>
      </w:r>
    </w:p>
    <w:p w14:paraId="1919069A">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（二）依法向人民法院起诉。</w:t>
      </w:r>
    </w:p>
    <w:p w14:paraId="5A741FD3">
      <w:pPr>
        <w:pStyle w:val="4"/>
        <w:rPr>
          <w:rFonts w:hint="eastAsia"/>
          <w:color w:val="auto"/>
          <w:highlight w:val="none"/>
        </w:rPr>
      </w:pPr>
    </w:p>
    <w:p w14:paraId="5D7B0590">
      <w:pPr>
        <w:keepNext w:val="0"/>
        <w:keepLines w:val="0"/>
        <w:pageBreakBefore w:val="0"/>
        <w:widowControl w:val="0"/>
        <w:numPr>
          <w:ilvl w:val="0"/>
          <w:numId w:val="2"/>
        </w:numPr>
        <w:kinsoku/>
        <w:wordWrap/>
        <w:overflowPunct/>
        <w:topLinePunct w:val="0"/>
        <w:autoSpaceDE/>
        <w:autoSpaceDN/>
        <w:bidi w:val="0"/>
        <w:adjustRightInd/>
        <w:snapToGrid/>
        <w:spacing w:line="640" w:lineRule="exact"/>
        <w:jc w:val="center"/>
        <w:textAlignment w:val="auto"/>
        <w:outlineLvl w:val="9"/>
        <w:rPr>
          <w:rFonts w:hint="eastAsia" w:ascii="黑体" w:hAnsi="宋体" w:eastAsia="黑体" w:cs="仿宋_GB2312"/>
          <w:b w:val="0"/>
          <w:bCs w:val="0"/>
          <w:color w:val="auto"/>
          <w:kern w:val="0"/>
          <w:sz w:val="32"/>
          <w:szCs w:val="32"/>
          <w:highlight w:val="none"/>
        </w:rPr>
      </w:pPr>
      <w:r>
        <w:rPr>
          <w:rFonts w:hint="eastAsia" w:ascii="黑体" w:hAnsi="宋体" w:eastAsia="黑体" w:cs="仿宋_GB2312"/>
          <w:b w:val="0"/>
          <w:bCs w:val="0"/>
          <w:color w:val="auto"/>
          <w:kern w:val="0"/>
          <w:sz w:val="32"/>
          <w:szCs w:val="32"/>
          <w:highlight w:val="none"/>
        </w:rPr>
        <w:t xml:space="preserve"> 附    则</w:t>
      </w:r>
    </w:p>
    <w:p w14:paraId="23AECB05">
      <w:pPr>
        <w:pStyle w:val="4"/>
        <w:rPr>
          <w:rFonts w:hint="eastAsia"/>
          <w:color w:val="auto"/>
          <w:highlight w:val="none"/>
        </w:rPr>
      </w:pPr>
    </w:p>
    <w:p w14:paraId="6E01FE25">
      <w:pPr>
        <w:pStyle w:val="4"/>
        <w:numPr>
          <w:ilvl w:val="0"/>
          <w:numId w:val="0"/>
        </w:numPr>
        <w:rPr>
          <w:rFonts w:hint="eastAsia"/>
          <w:color w:val="auto"/>
          <w:highlight w:val="none"/>
        </w:rPr>
      </w:pPr>
    </w:p>
    <w:p w14:paraId="4391C074">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第三十七条  </w:t>
      </w:r>
      <w:r>
        <w:rPr>
          <w:rFonts w:hint="default" w:ascii="Times New Roman" w:hAnsi="Times New Roman" w:eastAsia="仿宋_GB2312" w:cs="Times New Roman"/>
          <w:color w:val="auto"/>
          <w:sz w:val="32"/>
          <w:szCs w:val="32"/>
          <w:highlight w:val="none"/>
        </w:rPr>
        <w:t>本合同项下宗地出让方案业经</w:t>
      </w:r>
      <w:r>
        <w:rPr>
          <w:rFonts w:hint="eastAsia" w:ascii="Times New Roman" w:hAnsi="Times New Roman" w:eastAsia="仿宋_GB2312" w:cs="Times New Roman"/>
          <w:color w:val="auto"/>
          <w:sz w:val="32"/>
          <w:szCs w:val="32"/>
          <w:highlight w:val="none"/>
          <w:u w:val="single"/>
          <w:lang w:val="en-US" w:eastAsia="zh-CN"/>
        </w:rPr>
        <w:t>北京市</w:t>
      </w:r>
      <w:r>
        <w:rPr>
          <w:rFonts w:hint="default" w:ascii="Times New Roman" w:hAnsi="Times New Roman" w:eastAsia="仿宋_GB2312" w:cs="Times New Roman"/>
          <w:color w:val="auto"/>
          <w:sz w:val="32"/>
          <w:szCs w:val="32"/>
          <w:highlight w:val="none"/>
        </w:rPr>
        <w:t>人民政府批准，本合同自双方签订之日起生效。</w:t>
      </w:r>
    </w:p>
    <w:p w14:paraId="7FA94DDE">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第三十八条</w:t>
      </w:r>
      <w:r>
        <w:rPr>
          <w:rFonts w:hint="eastAsia" w:ascii="Times New Roman" w:hAnsi="Times New Roman" w:eastAsia="仿宋_GB2312" w:cs="Times New Roman"/>
          <w:b/>
          <w:bCs/>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本合同项下</w:t>
      </w:r>
      <w:r>
        <w:rPr>
          <w:rFonts w:hint="default" w:ascii="Times New Roman" w:hAnsi="Times New Roman" w:eastAsia="仿宋_GB2312" w:cs="Times New Roman"/>
          <w:color w:val="auto"/>
          <w:sz w:val="32"/>
          <w:szCs w:val="32"/>
          <w:highlight w:val="none"/>
          <w:lang w:eastAsia="zh-CN"/>
        </w:rPr>
        <w:t>约定向出让人支付的</w:t>
      </w:r>
      <w:r>
        <w:rPr>
          <w:rFonts w:hint="default" w:ascii="Times New Roman" w:hAnsi="Times New Roman" w:eastAsia="仿宋_GB2312" w:cs="Times New Roman"/>
          <w:color w:val="auto"/>
          <w:sz w:val="32"/>
          <w:szCs w:val="32"/>
          <w:highlight w:val="none"/>
        </w:rPr>
        <w:t>出让价款</w:t>
      </w:r>
      <w:r>
        <w:rPr>
          <w:rFonts w:hint="default" w:ascii="Times New Roman" w:hAnsi="Times New Roman" w:eastAsia="仿宋_GB2312" w:cs="Times New Roman"/>
          <w:color w:val="auto"/>
          <w:sz w:val="32"/>
          <w:szCs w:val="32"/>
          <w:highlight w:val="none"/>
          <w:lang w:eastAsia="zh-CN"/>
        </w:rPr>
        <w:t>及利息</w:t>
      </w:r>
      <w:r>
        <w:rPr>
          <w:rFonts w:hint="default" w:ascii="Times New Roman" w:hAnsi="Times New Roman" w:eastAsia="仿宋_GB2312" w:cs="Times New Roman"/>
          <w:color w:val="auto"/>
          <w:sz w:val="32"/>
          <w:szCs w:val="32"/>
          <w:highlight w:val="none"/>
        </w:rPr>
        <w:t>、改变土地用途和规划条件补缴价款等国有土地使用权出让收入</w:t>
      </w:r>
      <w:r>
        <w:rPr>
          <w:rFonts w:hint="eastAsia" w:ascii="Times New Roman" w:hAnsi="Times New Roman" w:eastAsia="仿宋_GB2312" w:cs="Times New Roman"/>
          <w:color w:val="auto"/>
          <w:sz w:val="32"/>
          <w:szCs w:val="32"/>
          <w:highlight w:val="none"/>
          <w:lang w:eastAsia="zh-CN"/>
        </w:rPr>
        <w:t>，以及违约金</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按照有关征管规定，具体由受让人向税务机关缴纳</w:t>
      </w:r>
      <w:r>
        <w:rPr>
          <w:rFonts w:hint="default" w:ascii="Times New Roman" w:hAnsi="Times New Roman" w:eastAsia="仿宋_GB2312" w:cs="Times New Roman"/>
          <w:color w:val="auto"/>
          <w:sz w:val="32"/>
          <w:szCs w:val="32"/>
          <w:highlight w:val="none"/>
        </w:rPr>
        <w:t>。</w:t>
      </w:r>
    </w:p>
    <w:p w14:paraId="77A9A113">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第三十九条 </w:t>
      </w:r>
      <w:r>
        <w:rPr>
          <w:rFonts w:hint="default" w:ascii="Times New Roman" w:hAnsi="Times New Roman" w:eastAsia="仿宋_GB2312" w:cs="Times New Roman"/>
          <w:color w:val="auto"/>
          <w:sz w:val="32"/>
          <w:szCs w:val="32"/>
          <w:highlight w:val="none"/>
        </w:rPr>
        <w:t xml:space="preserve"> 本合同履行中及合同发生纠纷时相关文件和法律文书送达时的送达地址及法律后果约定如下：</w:t>
      </w:r>
    </w:p>
    <w:p w14:paraId="1BEE2CC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（一）出让人确认其有效的送达地址为</w:t>
      </w:r>
      <w:r>
        <w:rPr>
          <w:rFonts w:hint="eastAsia" w:ascii="Times New Roman" w:hAnsi="Times New Roman" w:eastAsia="仿宋_GB2312" w:cs="Times New Roman"/>
          <w:color w:val="auto"/>
          <w:sz w:val="32"/>
          <w:szCs w:val="32"/>
          <w:highlight w:val="none"/>
          <w:u w:val="single"/>
          <w:lang w:val="en-US" w:eastAsia="zh-CN"/>
        </w:rPr>
        <w:t>北京市通州区承安路1号</w:t>
      </w:r>
      <w:r>
        <w:rPr>
          <w:rFonts w:hint="default" w:ascii="Times New Roman" w:hAnsi="Times New Roman" w:eastAsia="仿宋_GB2312" w:cs="Times New Roman"/>
          <w:color w:val="auto"/>
          <w:sz w:val="32"/>
          <w:szCs w:val="32"/>
          <w:highlight w:val="none"/>
        </w:rPr>
        <w:t>；受让人确认其有效的送达地址为</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仿宋_GB2312" w:hAnsi="宋体" w:eastAsia="仿宋_GB2312" w:cs="仿宋_GB2312"/>
          <w:spacing w:val="-11"/>
          <w:kern w:val="0"/>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w:t>
      </w:r>
    </w:p>
    <w:p w14:paraId="432EE5E8">
      <w:pPr>
        <w:spacing w:line="60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（二）一方的信息如有变更，应于变更之日起15日内以书面形式告知对方，否则由此引起的无法及时告知的责任由信息变更方承担。</w:t>
      </w:r>
    </w:p>
    <w:p w14:paraId="1AD3CB36">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第四十条</w:t>
      </w:r>
      <w:r>
        <w:rPr>
          <w:rFonts w:hint="default" w:ascii="Times New Roman" w:hAnsi="Times New Roman" w:eastAsia="仿宋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本合同和附件共</w:t>
      </w:r>
      <w:r>
        <w:rPr>
          <w:rFonts w:hint="eastAsia" w:ascii="仿宋_GB2312" w:hAnsi="宋体" w:eastAsia="仿宋_GB2312" w:cs="仿宋_GB2312"/>
          <w:strike/>
          <w:kern w:val="0"/>
          <w:sz w:val="32"/>
          <w:szCs w:val="32"/>
          <w:highlight w:val="none"/>
          <w:u w:val="single"/>
        </w:rPr>
        <w:t xml:space="preserve">      </w:t>
      </w:r>
      <w:r>
        <w:rPr>
          <w:rFonts w:hint="default" w:ascii="Times New Roman" w:hAnsi="Times New Roman" w:eastAsia="仿宋_GB2312" w:cs="Times New Roman"/>
          <w:color w:val="auto"/>
          <w:sz w:val="32"/>
          <w:szCs w:val="32"/>
          <w:highlight w:val="none"/>
          <w:u w:val="none"/>
          <w:lang w:val="en-US" w:eastAsia="zh-CN"/>
        </w:rPr>
        <w:t>页，以中文书写为准。</w:t>
      </w:r>
      <w:r>
        <w:rPr>
          <w:rFonts w:hint="default" w:ascii="Times New Roman" w:hAnsi="Times New Roman" w:eastAsia="仿宋_GB2312" w:cs="Times New Roman"/>
          <w:color w:val="auto"/>
          <w:sz w:val="32"/>
          <w:szCs w:val="32"/>
          <w:highlight w:val="none"/>
        </w:rPr>
        <w:t xml:space="preserve"> </w:t>
      </w:r>
    </w:p>
    <w:p w14:paraId="2761B661">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一</w:t>
      </w:r>
      <w:r>
        <w:rPr>
          <w:rFonts w:hint="default" w:ascii="Times New Roman" w:hAnsi="Times New Roman" w:eastAsia="仿宋_GB2312" w:cs="Times New Roman"/>
          <w:b/>
          <w:bCs/>
          <w:color w:val="auto"/>
          <w:sz w:val="32"/>
          <w:szCs w:val="32"/>
          <w:highlight w:val="none"/>
        </w:rPr>
        <w:t xml:space="preserve">条 </w:t>
      </w:r>
      <w:r>
        <w:rPr>
          <w:rFonts w:hint="default" w:ascii="Times New Roman" w:hAnsi="Times New Roman" w:eastAsia="仿宋_GB2312" w:cs="Times New Roman"/>
          <w:color w:val="auto"/>
          <w:sz w:val="32"/>
          <w:szCs w:val="32"/>
          <w:highlight w:val="none"/>
        </w:rPr>
        <w:t xml:space="preserve"> 本合同的</w:t>
      </w:r>
      <w:r>
        <w:rPr>
          <w:rFonts w:hint="eastAsia" w:ascii="Times New Roman" w:hAnsi="Times New Roman" w:eastAsia="仿宋_GB2312" w:cs="Times New Roman"/>
          <w:color w:val="auto"/>
          <w:sz w:val="32"/>
          <w:szCs w:val="32"/>
          <w:highlight w:val="none"/>
          <w:lang w:eastAsia="zh-CN"/>
        </w:rPr>
        <w:t>金额</w:t>
      </w:r>
      <w:r>
        <w:rPr>
          <w:rFonts w:hint="default" w:ascii="Times New Roman" w:hAnsi="Times New Roman" w:eastAsia="仿宋_GB2312" w:cs="Times New Roman"/>
          <w:color w:val="auto"/>
          <w:sz w:val="32"/>
          <w:szCs w:val="32"/>
          <w:highlight w:val="none"/>
        </w:rPr>
        <w:t>等项应当同时以大、小写表示，大小写数额应当一致，不一致的，以大写为准。</w:t>
      </w:r>
    </w:p>
    <w:p w14:paraId="29EEBFB9">
      <w:pPr>
        <w:spacing w:line="600" w:lineRule="exact"/>
        <w:ind w:firstLine="643"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w:t>
      </w:r>
      <w:r>
        <w:rPr>
          <w:rFonts w:hint="default" w:ascii="Times New Roman" w:hAnsi="Times New Roman" w:eastAsia="仿宋_GB2312" w:cs="Times New Roman"/>
          <w:b/>
          <w:bCs/>
          <w:color w:val="auto"/>
          <w:sz w:val="32"/>
          <w:szCs w:val="32"/>
          <w:highlight w:val="none"/>
          <w:lang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本合同未尽事宜，可由双方</w:t>
      </w:r>
      <w:r>
        <w:rPr>
          <w:rFonts w:hint="eastAsia" w:ascii="Times New Roman" w:hAnsi="Times New Roman" w:eastAsia="仿宋_GB2312" w:cs="Times New Roman"/>
          <w:color w:val="auto"/>
          <w:sz w:val="32"/>
          <w:szCs w:val="32"/>
          <w:highlight w:val="none"/>
          <w:lang w:eastAsia="zh-CN"/>
        </w:rPr>
        <w:t>签订补充协议后</w:t>
      </w:r>
      <w:r>
        <w:rPr>
          <w:rFonts w:hint="default" w:ascii="Times New Roman" w:hAnsi="Times New Roman" w:eastAsia="仿宋_GB2312" w:cs="Times New Roman"/>
          <w:color w:val="auto"/>
          <w:sz w:val="32"/>
          <w:szCs w:val="32"/>
          <w:highlight w:val="none"/>
        </w:rPr>
        <w:t>作为合同附件，与本合同具有同等法律效力。</w:t>
      </w:r>
    </w:p>
    <w:p w14:paraId="6FF086E5">
      <w:pPr>
        <w:spacing w:line="600" w:lineRule="exact"/>
        <w:ind w:firstLine="643"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第四十三条</w:t>
      </w:r>
      <w:r>
        <w:rPr>
          <w:rFonts w:hint="default" w:ascii="Times New Roman" w:hAnsi="Times New Roman" w:eastAsia="仿宋_GB2312" w:cs="Times New Roman"/>
          <w:color w:val="auto"/>
          <w:sz w:val="32"/>
          <w:szCs w:val="32"/>
          <w:highlight w:val="none"/>
        </w:rPr>
        <w:t xml:space="preserve">  本合同一式</w:t>
      </w:r>
      <w:r>
        <w:rPr>
          <w:rFonts w:hint="eastAsia" w:ascii="Times New Roman" w:hAnsi="Times New Roman" w:eastAsia="仿宋_GB2312" w:cs="Times New Roman"/>
          <w:color w:val="auto"/>
          <w:sz w:val="32"/>
          <w:szCs w:val="32"/>
          <w:highlight w:val="none"/>
          <w:u w:val="single"/>
          <w:lang w:val="en-US" w:eastAsia="zh-CN"/>
        </w:rPr>
        <w:t>肆</w:t>
      </w:r>
      <w:r>
        <w:rPr>
          <w:rFonts w:hint="default" w:ascii="Times New Roman" w:hAnsi="Times New Roman" w:eastAsia="仿宋_GB2312" w:cs="Times New Roman"/>
          <w:color w:val="auto"/>
          <w:sz w:val="32"/>
          <w:szCs w:val="32"/>
          <w:highlight w:val="none"/>
        </w:rPr>
        <w:t>份，出让人、受让人各执</w:t>
      </w:r>
      <w:r>
        <w:rPr>
          <w:rFonts w:hint="eastAsia" w:ascii="Times New Roman" w:hAnsi="Times New Roman" w:eastAsia="仿宋_GB2312" w:cs="Times New Roman"/>
          <w:color w:val="auto"/>
          <w:sz w:val="32"/>
          <w:szCs w:val="32"/>
          <w:highlight w:val="none"/>
          <w:u w:val="single"/>
          <w:lang w:val="en-US" w:eastAsia="zh-CN"/>
        </w:rPr>
        <w:t xml:space="preserve">贰     </w:t>
      </w:r>
      <w:r>
        <w:rPr>
          <w:rFonts w:hint="default" w:ascii="Times New Roman" w:hAnsi="Times New Roman" w:eastAsia="仿宋_GB2312" w:cs="Times New Roman"/>
          <w:color w:val="auto"/>
          <w:sz w:val="32"/>
          <w:szCs w:val="32"/>
          <w:highlight w:val="none"/>
        </w:rPr>
        <w:t>份，具有同等法律效力。</w:t>
      </w:r>
    </w:p>
    <w:p w14:paraId="2939C7A6">
      <w:pPr>
        <w:pStyle w:val="4"/>
        <w:rPr>
          <w:rFonts w:hint="default" w:ascii="Times New Roman" w:hAnsi="Times New Roman" w:eastAsia="仿宋_GB2312" w:cs="Times New Roman"/>
          <w:color w:val="auto"/>
          <w:sz w:val="32"/>
          <w:szCs w:val="32"/>
          <w:highlight w:val="none"/>
        </w:rPr>
      </w:pPr>
    </w:p>
    <w:p w14:paraId="233F1DBA">
      <w:pPr>
        <w:rPr>
          <w:highlight w:val="none"/>
        </w:rPr>
      </w:pPr>
    </w:p>
    <w:p w14:paraId="09B07847">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出让人：北京市规划和自然资源委员会（盖章）</w:t>
      </w:r>
    </w:p>
    <w:p w14:paraId="40BCCF13">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 xml:space="preserve">    </w:t>
      </w:r>
    </w:p>
    <w:p w14:paraId="60FFC6D4">
      <w:pPr>
        <w:pStyle w:val="4"/>
        <w:rPr>
          <w:rFonts w:hint="eastAsia"/>
          <w:highlight w:val="none"/>
        </w:rPr>
      </w:pPr>
    </w:p>
    <w:p w14:paraId="63C9744B">
      <w:pPr>
        <w:rPr>
          <w:rFonts w:hint="eastAsia"/>
          <w:highlight w:val="none"/>
        </w:rPr>
      </w:pPr>
    </w:p>
    <w:p w14:paraId="60F2275E">
      <w:pPr>
        <w:pStyle w:val="4"/>
        <w:rPr>
          <w:rFonts w:hint="eastAsia"/>
          <w:highlight w:val="none"/>
        </w:rPr>
      </w:pPr>
    </w:p>
    <w:p w14:paraId="4B2BA506">
      <w:pPr>
        <w:rPr>
          <w:rFonts w:hint="eastAsia"/>
          <w:highlight w:val="none"/>
        </w:rPr>
      </w:pPr>
    </w:p>
    <w:p w14:paraId="317320DF">
      <w:pPr>
        <w:pStyle w:val="4"/>
        <w:rPr>
          <w:rFonts w:hint="eastAsia"/>
          <w:highlight w:val="none"/>
        </w:rPr>
      </w:pPr>
    </w:p>
    <w:p w14:paraId="3374EDFC">
      <w:pPr>
        <w:spacing w:line="560" w:lineRule="exact"/>
        <w:ind w:left="1280" w:hanging="1280" w:hangingChars="400"/>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kern w:val="0"/>
          <w:sz w:val="32"/>
          <w:szCs w:val="32"/>
          <w:highlight w:val="none"/>
        </w:rPr>
        <w:t>受让人：</w:t>
      </w:r>
      <w:r>
        <w:rPr>
          <w:rFonts w:hint="eastAsia" w:ascii="仿宋_GB2312" w:hAnsi="宋体" w:eastAsia="仿宋_GB2312" w:cs="仿宋_GB2312"/>
          <w:kern w:val="0"/>
          <w:sz w:val="32"/>
          <w:szCs w:val="32"/>
          <w:highlight w:val="none"/>
          <w:lang w:val="en-US" w:eastAsia="zh-CN"/>
        </w:rPr>
        <w:t xml:space="preserve">                          </w:t>
      </w:r>
      <w:r>
        <w:rPr>
          <w:rFonts w:hint="eastAsia" w:ascii="仿宋_GB2312" w:hAnsi="宋体" w:eastAsia="仿宋_GB2312" w:cs="仿宋_GB2312"/>
          <w:kern w:val="0"/>
          <w:sz w:val="32"/>
          <w:szCs w:val="32"/>
          <w:highlight w:val="none"/>
        </w:rPr>
        <w:t>（盖章</w:t>
      </w:r>
      <w:r>
        <w:rPr>
          <w:rFonts w:hint="eastAsia" w:ascii="仿宋_GB2312" w:hAnsi="宋体" w:eastAsia="仿宋_GB2312" w:cs="仿宋_GB2312"/>
          <w:kern w:val="0"/>
          <w:sz w:val="32"/>
          <w:szCs w:val="32"/>
          <w:highlight w:val="none"/>
          <w:lang w:eastAsia="zh-CN"/>
        </w:rPr>
        <w:t>）</w:t>
      </w:r>
    </w:p>
    <w:p w14:paraId="44C611FE">
      <w:pPr>
        <w:pStyle w:val="2"/>
        <w:rPr>
          <w:rFonts w:hint="eastAsia"/>
          <w:highlight w:val="none"/>
        </w:rPr>
      </w:pPr>
    </w:p>
    <w:p w14:paraId="32DBDD40">
      <w:pPr>
        <w:keepNext w:val="0"/>
        <w:keepLines w:val="0"/>
        <w:pageBreakBefore w:val="0"/>
        <w:widowControl w:val="0"/>
        <w:kinsoku/>
        <w:wordWrap/>
        <w:overflowPunct/>
        <w:topLinePunct w:val="0"/>
        <w:autoSpaceDE/>
        <w:autoSpaceDN/>
        <w:bidi w:val="0"/>
        <w:adjustRightInd/>
        <w:spacing w:line="660" w:lineRule="exact"/>
        <w:ind w:firstLine="5440" w:firstLineChars="1700"/>
        <w:textAlignment w:val="auto"/>
        <w:outlineLvl w:val="9"/>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仿宋_GB2312"/>
          <w:color w:val="auto"/>
          <w:kern w:val="0"/>
          <w:sz w:val="32"/>
          <w:szCs w:val="32"/>
          <w:highlight w:val="none"/>
        </w:rPr>
        <w:t xml:space="preserve"> 年　   月　   日</w:t>
      </w:r>
    </w:p>
    <w:p w14:paraId="69A9054F">
      <w:pPr>
        <w:spacing w:line="620" w:lineRule="atLeast"/>
        <w:rPr>
          <w:rFonts w:hint="eastAsia" w:ascii="仿宋_GB2312" w:hAnsi="宋体" w:eastAsia="仿宋_GB2312" w:cs="楷体_GB2312"/>
          <w:b/>
          <w:bCs/>
          <w:color w:val="auto"/>
          <w:kern w:val="0"/>
          <w:sz w:val="32"/>
          <w:szCs w:val="32"/>
          <w:highlight w:val="none"/>
        </w:rPr>
      </w:pPr>
      <w:r>
        <w:rPr>
          <w:rFonts w:hint="eastAsia" w:ascii="仿宋_GB2312" w:hAnsi="宋体" w:eastAsia="仿宋_GB2312" w:cs="楷体_GB2312"/>
          <w:b/>
          <w:bCs/>
          <w:color w:val="auto"/>
          <w:kern w:val="0"/>
          <w:sz w:val="32"/>
          <w:szCs w:val="32"/>
          <w:highlight w:val="none"/>
        </w:rPr>
        <w:br w:type="page"/>
      </w:r>
      <w:r>
        <w:rPr>
          <w:rFonts w:hint="eastAsia" w:ascii="仿宋_GB2312" w:hAnsi="宋体" w:eastAsia="仿宋_GB2312" w:cs="楷体_GB2312"/>
          <w:b/>
          <w:bCs/>
          <w:color w:val="auto"/>
          <w:kern w:val="0"/>
          <w:sz w:val="32"/>
          <w:szCs w:val="32"/>
          <w:highlight w:val="none"/>
        </w:rPr>
        <w:t>附件1</w:t>
      </w:r>
    </w:p>
    <w:p w14:paraId="484ACCD3">
      <w:pPr>
        <w:spacing w:line="580" w:lineRule="exact"/>
        <w:jc w:val="center"/>
        <w:rPr>
          <w:rFonts w:hint="eastAsia" w:ascii="仿宋_GB2312" w:hAnsi="宋体" w:eastAsia="仿宋_GB2312" w:cs="楷体_GB2312"/>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出让宗地平面图</w:t>
      </w:r>
    </w:p>
    <w:p w14:paraId="53188B72">
      <w:pPr>
        <w:spacing w:line="580" w:lineRule="exact"/>
        <w:rPr>
          <w:rFonts w:hint="eastAsia" w:ascii="仿宋_GB2312" w:hAnsi="宋体" w:eastAsia="仿宋_GB2312" w:cs="楷体_GB2312"/>
          <w:color w:val="auto"/>
          <w:kern w:val="0"/>
          <w:sz w:val="32"/>
          <w:szCs w:val="32"/>
          <w:highlight w:val="none"/>
        </w:rPr>
      </w:pPr>
    </w:p>
    <w:p w14:paraId="77B1148C">
      <w:pPr>
        <w:spacing w:line="580" w:lineRule="exact"/>
        <w:rPr>
          <w:rFonts w:hint="eastAsia" w:ascii="仿宋_GB2312" w:hAnsi="宋体" w:eastAsia="仿宋_GB2312" w:cs="仿宋_GB2312"/>
          <w:color w:val="auto"/>
          <w:kern w:val="0"/>
          <w:sz w:val="32"/>
          <w:szCs w:val="32"/>
          <w:highlight w:val="none"/>
        </w:rPr>
      </w:pPr>
      <w:r>
        <w:rPr>
          <w:rFonts w:hint="eastAsia" w:ascii="仿宋_GB2312" w:hAnsi="宋体" w:eastAsia="仿宋_GB2312" w:cs="仿宋_GB2312"/>
          <w:color w:val="auto"/>
          <w:kern w:val="0"/>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3836035</wp:posOffset>
                </wp:positionH>
                <wp:positionV relativeFrom="paragraph">
                  <wp:posOffset>5715</wp:posOffset>
                </wp:positionV>
                <wp:extent cx="816610" cy="1544320"/>
                <wp:effectExtent l="4445" t="4445" r="17145" b="13335"/>
                <wp:wrapNone/>
                <wp:docPr id="3" name="文本框 3"/>
                <wp:cNvGraphicFramePr/>
                <a:graphic xmlns:a="http://schemas.openxmlformats.org/drawingml/2006/main">
                  <a:graphicData uri="http://schemas.microsoft.com/office/word/2010/wordprocessingShape">
                    <wps:wsp>
                      <wps:cNvSpPr txBox="1"/>
                      <wps:spPr>
                        <a:xfrm>
                          <a:off x="0" y="0"/>
                          <a:ext cx="816610" cy="154432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wps:txbx>
                      <wps:bodyPr wrap="square" upright="1"/>
                    </wps:wsp>
                  </a:graphicData>
                </a:graphic>
              </wp:anchor>
            </w:drawing>
          </mc:Choice>
          <mc:Fallback>
            <w:pict>
              <v:shape id="_x0000_s1026" o:spid="_x0000_s1026" o:spt="202" type="#_x0000_t202" style="position:absolute;left:0pt;margin-left:302.05pt;margin-top:0.45pt;height:121.6pt;width:64.3pt;z-index:251659264;mso-width-relative:page;mso-height-relative:page;" fillcolor="#FFFFFF" filled="t" stroked="t" coordsize="21600,21600" o:gfxdata="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08CjXAAAACAEAAA8A&#10;AAAAAAAAAQAgAAAAIgAAAGRycy9kb3ducmV2LnhtbFBLAQIUABQAAAAIAIdO4kB7hWHfGAIAAFIE&#10;AAAOAAAAAAAAAAEAIAAAACYBAABkcnMvZTJvRG9jLnhtbFBLBQYAAAAABgAGAFkBAACwBQAAAAA=&#10;">
                <v:fill on="t" focussize="0,0"/>
                <v:stroke color="#FFFFFF" joinstyle="miter"/>
                <v:imagedata o:title=""/>
                <o:lock v:ext="edit" aspectratio="f"/>
                <v:textbox>
                  <w:txbxContent>
                    <w:p w14:paraId="5AD8C86E">
                      <w:pPr>
                        <w:jc w:val="center"/>
                        <w:rPr>
                          <w:rFonts w:hint="eastAsia" w:ascii="方正楷体简体" w:eastAsia="方正楷体简体"/>
                          <w:sz w:val="36"/>
                          <w:szCs w:val="36"/>
                        </w:rPr>
                      </w:pPr>
                      <w:r>
                        <w:rPr>
                          <w:rFonts w:hint="eastAsia" w:ascii="方正楷体简体" w:eastAsia="方正楷体简体"/>
                          <w:sz w:val="36"/>
                          <w:szCs w:val="36"/>
                        </w:rPr>
                        <w:t>北</w:t>
                      </w:r>
                    </w:p>
                    <w:p w14:paraId="20FB3348">
                      <w:pPr>
                        <w:jc w:val="center"/>
                        <w:rPr>
                          <w:rFonts w:hint="eastAsia" w:eastAsia="宋体"/>
                        </w:rPr>
                      </w:pPr>
                      <w:r>
                        <w:rPr>
                          <w:rFonts w:hint="eastAsia" w:eastAsia="宋体"/>
                        </w:rPr>
                        <w:t>▲</w:t>
                      </w:r>
                    </w:p>
                    <w:p w14:paraId="596777B0">
                      <w:pPr>
                        <w:jc w:val="center"/>
                        <w:rPr>
                          <w:rFonts w:hint="eastAsia" w:eastAsia="宋体"/>
                        </w:rPr>
                      </w:pPr>
                      <w:r>
                        <w:rPr>
                          <w:rFonts w:hint="eastAsia" w:eastAsia="宋体"/>
                        </w:rPr>
                        <w:t>∣</w:t>
                      </w:r>
                    </w:p>
                    <w:p w14:paraId="3F3A5D52">
                      <w:pPr>
                        <w:jc w:val="center"/>
                      </w:pPr>
                      <w:r>
                        <w:rPr>
                          <w:rFonts w:hint="eastAsia" w:eastAsia="宋体"/>
                        </w:rPr>
                        <w:t>∣</w:t>
                      </w:r>
                    </w:p>
                    <w:p w14:paraId="3DA674FF">
                      <w:pPr>
                        <w:jc w:val="center"/>
                      </w:pPr>
                      <w:r>
                        <w:rPr>
                          <w:rFonts w:hint="eastAsia" w:eastAsia="宋体"/>
                        </w:rPr>
                        <w:t>∣</w:t>
                      </w:r>
                    </w:p>
                    <w:p w14:paraId="2A23A093">
                      <w:pPr>
                        <w:jc w:val="center"/>
                      </w:pPr>
                    </w:p>
                  </w:txbxContent>
                </v:textbox>
              </v:shape>
            </w:pict>
          </mc:Fallback>
        </mc:AlternateContent>
      </w:r>
    </w:p>
    <w:p w14:paraId="7F42CCDA">
      <w:pPr>
        <w:spacing w:line="580" w:lineRule="exact"/>
        <w:rPr>
          <w:rFonts w:ascii="仿宋_GB2312" w:hAnsi="宋体" w:eastAsia="仿宋_GB2312" w:cs="仿宋_GB2312"/>
          <w:color w:val="auto"/>
          <w:kern w:val="0"/>
          <w:sz w:val="32"/>
          <w:szCs w:val="32"/>
          <w:highlight w:val="none"/>
        </w:rPr>
      </w:pPr>
    </w:p>
    <w:p w14:paraId="6726A09C">
      <w:pPr>
        <w:spacing w:line="580" w:lineRule="exact"/>
        <w:rPr>
          <w:rFonts w:ascii="仿宋_GB2312" w:hAnsi="宋体" w:eastAsia="仿宋_GB2312" w:cs="仿宋_GB2312"/>
          <w:color w:val="auto"/>
          <w:sz w:val="32"/>
          <w:szCs w:val="32"/>
          <w:highlight w:val="none"/>
        </w:rPr>
      </w:pPr>
    </w:p>
    <w:p w14:paraId="7832A282">
      <w:pPr>
        <w:spacing w:line="580" w:lineRule="exact"/>
        <w:rPr>
          <w:rFonts w:ascii="仿宋_GB2312" w:hAnsi="宋体" w:eastAsia="仿宋_GB2312" w:cs="仿宋_GB2312"/>
          <w:color w:val="auto"/>
          <w:sz w:val="32"/>
          <w:szCs w:val="32"/>
          <w:highlight w:val="none"/>
        </w:rPr>
      </w:pPr>
    </w:p>
    <w:p w14:paraId="7B9CCC1E">
      <w:pPr>
        <w:spacing w:line="580" w:lineRule="exact"/>
        <w:rPr>
          <w:rFonts w:ascii="仿宋_GB2312" w:hAnsi="宋体" w:eastAsia="仿宋_GB2312" w:cs="仿宋_GB2312"/>
          <w:color w:val="auto"/>
          <w:sz w:val="32"/>
          <w:szCs w:val="32"/>
          <w:highlight w:val="none"/>
        </w:rPr>
      </w:pPr>
    </w:p>
    <w:p w14:paraId="3A690190">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350520</wp:posOffset>
                </wp:positionV>
                <wp:extent cx="1075055" cy="2187575"/>
                <wp:effectExtent l="5080" t="5080" r="5715" b="17145"/>
                <wp:wrapNone/>
                <wp:docPr id="1" name="文本框 1"/>
                <wp:cNvGraphicFramePr/>
                <a:graphic xmlns:a="http://schemas.openxmlformats.org/drawingml/2006/main">
                  <a:graphicData uri="http://schemas.microsoft.com/office/word/2010/wordprocessingShape">
                    <wps:wsp>
                      <wps:cNvSpPr txBox="1"/>
                      <wps:spPr>
                        <a:xfrm>
                          <a:off x="0" y="0"/>
                          <a:ext cx="1075055" cy="21875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upright="1"/>
                    </wps:wsp>
                  </a:graphicData>
                </a:graphic>
              </wp:anchor>
            </w:drawing>
          </mc:Choice>
          <mc:Fallback>
            <w:pict>
              <v:shape id="_x0000_s1026" o:spid="_x0000_s1026" o:spt="202" type="#_x0000_t202" style="position:absolute;left:0pt;margin-left:-9.15pt;margin-top:27.6pt;height:172.25pt;width:84.65pt;z-index:251660288;mso-width-relative:page;mso-height-relative:page;" fillcolor="#FFFFFF" filled="t" stroked="t" coordsize="21600,21600" o:gfxdata="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Zs0bnWAAAACgEA&#10;AA8AAAAAAAAAAQAgAAAAIgAAAGRycy9kb3ducmV2LnhtbFBLAQIUABQAAAAIAIdO4kCUY+Q8HAIA&#10;AGEEAAAOAAAAAAAAAAEAIAAAACUBAABkcnMvZTJvRG9jLnhtbFBLBQYAAAAABgAGAFkBAACzBQAA&#10;AAA=&#10;">
                <v:fill on="t" focussize="0,0"/>
                <v:stroke color="#FFFFFF" joinstyle="miter"/>
                <v:imagedata o:title=""/>
                <o:lock v:ext="edit" aspectratio="f"/>
                <v:textbox style="layout-flow:vertical-ideographic;">
                  <w:txbxContent>
                    <w:p w14:paraId="461C0456">
                      <w:pPr>
                        <w:rPr>
                          <w:rFonts w:hint="eastAsia" w:ascii="方正楷体简体" w:eastAsia="方正楷体简体"/>
                          <w:spacing w:val="60"/>
                          <w:sz w:val="36"/>
                          <w:szCs w:val="36"/>
                        </w:rPr>
                      </w:pPr>
                      <w:r>
                        <w:rPr>
                          <w:rFonts w:hint="eastAsia" w:ascii="方正楷体简体" w:eastAsia="方正楷体简体"/>
                          <w:spacing w:val="60"/>
                          <w:sz w:val="36"/>
                          <w:szCs w:val="36"/>
                        </w:rPr>
                        <w:t>平面图粘贴线</w:t>
                      </w:r>
                    </w:p>
                    <w:p w14:paraId="063FFBE6">
                      <w:pP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w:pict>
          </mc:Fallback>
        </mc:AlternateContent>
      </w:r>
    </w:p>
    <w:p w14:paraId="44D89824">
      <w:pPr>
        <w:spacing w:line="580" w:lineRule="exact"/>
        <w:rPr>
          <w:rFonts w:ascii="仿宋_GB2312" w:hAnsi="宋体" w:eastAsia="仿宋_GB2312" w:cs="仿宋_GB2312"/>
          <w:color w:val="auto"/>
          <w:sz w:val="32"/>
          <w:szCs w:val="32"/>
          <w:highlight w:val="none"/>
        </w:rPr>
      </w:pPr>
    </w:p>
    <w:p w14:paraId="73AE7CD1">
      <w:pPr>
        <w:spacing w:line="580" w:lineRule="exact"/>
        <w:rPr>
          <w:rFonts w:ascii="仿宋_GB2312" w:hAnsi="宋体" w:eastAsia="仿宋_GB2312" w:cs="仿宋_GB2312"/>
          <w:color w:val="auto"/>
          <w:sz w:val="32"/>
          <w:szCs w:val="32"/>
          <w:highlight w:val="none"/>
        </w:rPr>
      </w:pPr>
    </w:p>
    <w:p w14:paraId="21A522AB">
      <w:pPr>
        <w:spacing w:line="580" w:lineRule="exact"/>
        <w:rPr>
          <w:rFonts w:ascii="仿宋_GB2312" w:hAnsi="宋体" w:eastAsia="仿宋_GB2312" w:cs="仿宋_GB2312"/>
          <w:color w:val="auto"/>
          <w:sz w:val="32"/>
          <w:szCs w:val="32"/>
          <w:highlight w:val="none"/>
        </w:rPr>
      </w:pPr>
    </w:p>
    <w:p w14:paraId="0B5B0804">
      <w:pPr>
        <w:spacing w:line="580" w:lineRule="exact"/>
        <w:rPr>
          <w:rFonts w:ascii="仿宋_GB2312" w:hAnsi="宋体" w:eastAsia="仿宋_GB2312" w:cs="仿宋_GB2312"/>
          <w:color w:val="auto"/>
          <w:sz w:val="32"/>
          <w:szCs w:val="32"/>
          <w:highlight w:val="none"/>
        </w:rPr>
      </w:pPr>
    </w:p>
    <w:p w14:paraId="2B9C1F14">
      <w:pPr>
        <w:spacing w:line="580" w:lineRule="exact"/>
        <w:rPr>
          <w:rFonts w:ascii="仿宋_GB2312" w:hAnsi="宋体" w:eastAsia="仿宋_GB2312" w:cs="仿宋_GB2312"/>
          <w:color w:val="auto"/>
          <w:sz w:val="32"/>
          <w:szCs w:val="32"/>
          <w:highlight w:val="none"/>
        </w:rPr>
      </w:pPr>
    </w:p>
    <w:p w14:paraId="22728F3D">
      <w:pPr>
        <w:spacing w:line="580" w:lineRule="exact"/>
        <w:rPr>
          <w:rFonts w:ascii="仿宋_GB2312" w:hAnsi="宋体" w:eastAsia="仿宋_GB2312" w:cs="仿宋_GB2312"/>
          <w:color w:val="auto"/>
          <w:sz w:val="32"/>
          <w:szCs w:val="32"/>
          <w:highlight w:val="none"/>
        </w:rPr>
      </w:pPr>
    </w:p>
    <w:p w14:paraId="3937E644">
      <w:pPr>
        <w:spacing w:line="580" w:lineRule="exact"/>
        <w:rPr>
          <w:rFonts w:ascii="仿宋_GB2312" w:hAnsi="宋体" w:eastAsia="仿宋_GB2312" w:cs="仿宋_GB2312"/>
          <w:color w:val="auto"/>
          <w:sz w:val="32"/>
          <w:szCs w:val="32"/>
          <w:highlight w:val="none"/>
        </w:rPr>
      </w:pPr>
    </w:p>
    <w:p w14:paraId="63AB2EAF">
      <w:pPr>
        <w:spacing w:line="580" w:lineRule="exact"/>
        <w:rPr>
          <w:rFonts w:hint="eastAsia" w:ascii="仿宋_GB2312" w:hAnsi="宋体" w:eastAsia="仿宋_GB2312" w:cs="仿宋_GB2312"/>
          <w:color w:val="auto"/>
          <w:sz w:val="32"/>
          <w:szCs w:val="32"/>
          <w:highlight w:val="none"/>
        </w:rPr>
      </w:pPr>
    </w:p>
    <w:p w14:paraId="6AB18C87">
      <w:pPr>
        <w:spacing w:line="580" w:lineRule="exact"/>
        <w:rPr>
          <w:rFonts w:ascii="仿宋_GB2312" w:hAnsi="宋体" w:eastAsia="仿宋_GB2312" w:cs="仿宋_GB2312"/>
          <w:color w:val="auto"/>
          <w:sz w:val="32"/>
          <w:szCs w:val="32"/>
          <w:highlight w:val="none"/>
        </w:rPr>
      </w:pPr>
    </w:p>
    <w:p w14:paraId="5F067075">
      <w:pPr>
        <w:spacing w:line="580" w:lineRule="exact"/>
        <w:rPr>
          <w:rFonts w:ascii="仿宋_GB2312" w:hAnsi="宋体" w:eastAsia="仿宋_GB2312" w:cs="仿宋_GB2312"/>
          <w:color w:val="auto"/>
          <w:sz w:val="32"/>
          <w:szCs w:val="32"/>
          <w:highlight w:val="none"/>
        </w:rPr>
      </w:pPr>
    </w:p>
    <w:p w14:paraId="765F87F1">
      <w:pPr>
        <w:spacing w:line="580" w:lineRule="exact"/>
        <w:rPr>
          <w:rFonts w:ascii="仿宋_GB2312" w:hAnsi="宋体" w:eastAsia="仿宋_GB2312" w:cs="仿宋_GB2312"/>
          <w:color w:val="auto"/>
          <w:sz w:val="32"/>
          <w:szCs w:val="32"/>
          <w:highlight w:val="none"/>
        </w:rPr>
      </w:pPr>
      <w:r>
        <w:rPr>
          <w:rFonts w:ascii="仿宋_GB2312" w:hAnsi="宋体" w:eastAsia="仿宋_GB2312" w:cs="仿宋_GB2312"/>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-29845</wp:posOffset>
                </wp:positionH>
                <wp:positionV relativeFrom="paragraph">
                  <wp:posOffset>334010</wp:posOffset>
                </wp:positionV>
                <wp:extent cx="544957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544957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35pt;margin-top:26.3pt;height:0pt;width:429.1pt;z-index:251661312;mso-width-relative:page;mso-height-relative:page;" filled="f" stroked="t" coordsize="21600,21600" o:gfxdata="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vR+b9cAAAAIAQAADwAAAAAAAAABACAAAAAiAAAAZHJzL2Rv&#10;d25yZXYueG1sUEsBAhQAFAAAAAgAh07iQPQ1VhACAgAA+gMAAA4AAAAAAAAAAQAgAAAAJgEAAGRy&#10;cy9lMm9Eb2MueG1sUEsFBgAAAAAGAAYAWQEAAJoFAAAAAA==&#10;">
                <v:fill on="f" focussize="0,0"/>
                <v:stroke color="#000000" joinstyle="round"/>
                <v:imagedata o:title=""/>
                <o:lock v:ext="edit" aspectratio="f"/>
              </v:shape>
            </w:pict>
          </mc:Fallback>
        </mc:AlternateContent>
      </w:r>
    </w:p>
    <w:p w14:paraId="642C4808">
      <w:pPr>
        <w:spacing w:line="580" w:lineRule="exact"/>
        <w:rPr>
          <w:rFonts w:ascii="仿宋_GB2312" w:hAnsi="宋体" w:eastAsia="仿宋_GB2312" w:cs="仿宋_GB2312"/>
          <w:color w:val="auto"/>
          <w:sz w:val="32"/>
          <w:szCs w:val="32"/>
          <w:highlight w:val="none"/>
        </w:rPr>
      </w:pPr>
    </w:p>
    <w:p w14:paraId="6D25B844">
      <w:pPr>
        <w:spacing w:line="580" w:lineRule="exact"/>
        <w:ind w:firstLine="4160" w:firstLineChars="1300"/>
        <w:rPr>
          <w:rFonts w:hint="eastAsia" w:ascii="仿宋_GB2312" w:hAnsi="宋体"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比例尺：1：</w:t>
      </w:r>
      <w:r>
        <w:rPr>
          <w:rFonts w:hint="eastAsia" w:ascii="仿宋_GB2312" w:hAnsi="宋体" w:eastAsia="仿宋_GB2312" w:cs="仿宋_GB2312"/>
          <w:color w:val="auto"/>
          <w:sz w:val="32"/>
          <w:szCs w:val="32"/>
          <w:highlight w:val="none"/>
          <w:u w:val="single"/>
        </w:rPr>
        <w:t xml:space="preserve">          </w:t>
      </w:r>
    </w:p>
    <w:p w14:paraId="6C89A43B">
      <w:pPr>
        <w:spacing w:line="580" w:lineRule="exact"/>
        <w:rPr>
          <w:rFonts w:hint="eastAsia" w:ascii="仿宋_GB2312" w:hAnsi="宋体" w:eastAsia="仿宋_GB2312" w:cs="仿宋_GB2312"/>
          <w:b/>
          <w:bCs/>
          <w:color w:val="auto"/>
          <w:kern w:val="0"/>
          <w:sz w:val="32"/>
          <w:szCs w:val="32"/>
          <w:highlight w:val="none"/>
        </w:rPr>
      </w:pPr>
      <w:r>
        <w:rPr>
          <w:rFonts w:ascii="仿宋_GB2312" w:hAnsi="宋体" w:eastAsia="仿宋_GB2312" w:cs="仿宋_GB2312"/>
          <w:color w:val="auto"/>
          <w:sz w:val="32"/>
          <w:szCs w:val="32"/>
          <w:highlight w:val="none"/>
        </w:rPr>
        <w:br w:type="page"/>
      </w:r>
      <w:r>
        <w:rPr>
          <w:rFonts w:hint="eastAsia" w:ascii="仿宋_GB2312" w:hAnsi="宋体" w:eastAsia="仿宋_GB2312" w:cs="仿宋_GB2312"/>
          <w:b/>
          <w:bCs/>
          <w:color w:val="auto"/>
          <w:kern w:val="0"/>
          <w:sz w:val="32"/>
          <w:szCs w:val="32"/>
          <w:highlight w:val="none"/>
        </w:rPr>
        <w:t>附件2</w:t>
      </w:r>
    </w:p>
    <w:p w14:paraId="449595FA">
      <w:pPr>
        <w:spacing w:line="580" w:lineRule="exact"/>
        <w:jc w:val="center"/>
        <w:rPr>
          <w:rFonts w:hint="eastAsia" w:ascii="仿宋_GB2312" w:hAnsi="宋体" w:eastAsia="仿宋_GB2312" w:cs="楷体_GB2312"/>
          <w:b/>
          <w:bCs/>
          <w:color w:val="auto"/>
          <w:kern w:val="0"/>
          <w:sz w:val="36"/>
          <w:szCs w:val="36"/>
          <w:highlight w:val="none"/>
        </w:rPr>
      </w:pPr>
      <w:r>
        <w:rPr>
          <w:rFonts w:hint="eastAsia" w:ascii="仿宋_GB2312" w:hAnsi="宋体" w:eastAsia="仿宋_GB2312" w:cs="楷体_GB2312"/>
          <w:b/>
          <w:bCs/>
          <w:color w:val="auto"/>
          <w:kern w:val="0"/>
          <w:sz w:val="36"/>
          <w:szCs w:val="36"/>
          <w:highlight w:val="none"/>
        </w:rPr>
        <w:t>出让宗地竖向界限</w:t>
      </w:r>
    </w:p>
    <w:p w14:paraId="72E9A23A">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g">
            <w:drawing>
              <wp:anchor distT="0" distB="0" distL="114300" distR="114300" simplePos="0" relativeHeight="251662336" behindDoc="0" locked="0" layoutInCell="1" allowOverlap="1">
                <wp:simplePos x="0" y="0"/>
                <wp:positionH relativeFrom="column">
                  <wp:posOffset>-755015</wp:posOffset>
                </wp:positionH>
                <wp:positionV relativeFrom="paragraph">
                  <wp:posOffset>345440</wp:posOffset>
                </wp:positionV>
                <wp:extent cx="5995035" cy="5547995"/>
                <wp:effectExtent l="5080" t="5080" r="19685" b="9525"/>
                <wp:wrapNone/>
                <wp:docPr id="40" name="组合 40"/>
                <wp:cNvGraphicFramePr/>
                <a:graphic xmlns:a="http://schemas.openxmlformats.org/drawingml/2006/main">
                  <a:graphicData uri="http://schemas.microsoft.com/office/word/2010/wordprocessingGroup">
                    <wpg:wgp>
                      <wpg:cNvGrpSpPr/>
                      <wpg:grpSpPr>
                        <a:xfrm>
                          <a:off x="0" y="0"/>
                          <a:ext cx="5995035" cy="5547995"/>
                          <a:chOff x="0" y="0"/>
                          <a:chExt cx="9441" cy="8737"/>
                        </a:xfrm>
                        <a:effectLst/>
                      </wpg:grpSpPr>
                      <wps:wsp>
                        <wps:cNvPr id="4" name="文本框 4"/>
                        <wps:cNvSpPr txBox="1"/>
                        <wps:spPr>
                          <a:xfrm>
                            <a:off x="0" y="2800"/>
                            <a:ext cx="1693" cy="344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wps:txbx>
                        <wps:bodyPr vert="eaVert" wrap="square" anchor="t" anchorCtr="0" upright="1"/>
                      </wps:wsp>
                      <wpg:grpSp>
                        <wpg:cNvPr id="34" name="组合 34"/>
                        <wpg:cNvGrpSpPr/>
                        <wpg:grpSpPr>
                          <a:xfrm>
                            <a:off x="1843" y="319"/>
                            <a:ext cx="6688" cy="8418"/>
                            <a:chOff x="0" y="0"/>
                            <a:chExt cx="6688" cy="8418"/>
                          </a:xfrm>
                          <a:effectLst/>
                        </wpg:grpSpPr>
                        <wps:wsp>
                          <wps:cNvPr id="5" name="直接箭头连接符 5"/>
                          <wps:cNvCnPr/>
                          <wps:spPr>
                            <a:xfrm>
                              <a:off x="0" y="3"/>
                              <a:ext cx="5244" cy="0"/>
                            </a:xfrm>
                            <a:prstGeom prst="straightConnector1">
                              <a:avLst/>
                            </a:prstGeom>
                            <a:ln w="9525" cap="flat" cmpd="sng">
                              <a:solidFill>
                                <a:srgbClr val="000000"/>
                              </a:solidFill>
                              <a:prstDash val="solid"/>
                              <a:headEnd type="none" w="med" len="med"/>
                              <a:tailEnd type="none" w="med" len="med"/>
                            </a:ln>
                            <a:effectLst/>
                          </wps:spPr>
                          <wps:bodyPr/>
                        </wps:wsp>
                        <wps:wsp>
                          <wps:cNvPr id="6" name="直接箭头连接符 6"/>
                          <wps:cNvCnPr/>
                          <wps:spPr>
                            <a:xfrm>
                              <a:off x="0" y="0"/>
                              <a:ext cx="0" cy="8408"/>
                            </a:xfrm>
                            <a:prstGeom prst="straightConnector1">
                              <a:avLst/>
                            </a:prstGeom>
                            <a:ln w="9525" cap="flat" cmpd="sng">
                              <a:solidFill>
                                <a:srgbClr val="000000"/>
                              </a:solidFill>
                              <a:prstDash val="solid"/>
                              <a:headEnd type="none" w="med" len="med"/>
                              <a:tailEnd type="none" w="med" len="med"/>
                            </a:ln>
                            <a:effectLst/>
                          </wps:spPr>
                          <wps:bodyPr/>
                        </wps:wsp>
                        <wps:wsp>
                          <wps:cNvPr id="7" name="直接箭头连接符 7"/>
                          <wps:cNvCnPr/>
                          <wps:spPr>
                            <a:xfrm>
                              <a:off x="0" y="8408"/>
                              <a:ext cx="6688" cy="0"/>
                            </a:xfrm>
                            <a:prstGeom prst="straightConnector1">
                              <a:avLst/>
                            </a:prstGeom>
                            <a:ln w="9525" cap="flat" cmpd="sng">
                              <a:solidFill>
                                <a:srgbClr val="000000"/>
                              </a:solidFill>
                              <a:prstDash val="solid"/>
                              <a:headEnd type="none" w="med" len="med"/>
                              <a:tailEnd type="none" w="med" len="med"/>
                            </a:ln>
                            <a:effectLst/>
                          </wps:spPr>
                          <wps:bodyPr/>
                        </wps:wsp>
                        <wps:wsp>
                          <wps:cNvPr id="8" name="直接箭头连接符 8"/>
                          <wps:cNvCnPr/>
                          <wps:spPr>
                            <a:xfrm>
                              <a:off x="0" y="4218"/>
                              <a:ext cx="5244" cy="0"/>
                            </a:xfrm>
                            <a:prstGeom prst="straightConnector1">
                              <a:avLst/>
                            </a:prstGeom>
                            <a:ln w="9525" cap="flat" cmpd="sng">
                              <a:solidFill>
                                <a:srgbClr val="000000"/>
                              </a:solidFill>
                              <a:prstDash val="solid"/>
                              <a:headEnd type="none" w="med" len="med"/>
                              <a:tailEnd type="none" w="med" len="med"/>
                            </a:ln>
                            <a:effectLst/>
                          </wps:spPr>
                          <wps:bodyPr/>
                        </wps:wsp>
                        <wps:wsp>
                          <wps:cNvPr id="9" name="直接箭头连接符 9"/>
                          <wps:cNvCnPr/>
                          <wps:spPr>
                            <a:xfrm>
                              <a:off x="2413" y="0"/>
                              <a:ext cx="0" cy="4212"/>
                            </a:xfrm>
                            <a:prstGeom prst="straightConnector1">
                              <a:avLst/>
                            </a:prstGeom>
                            <a:ln w="9525" cap="flat" cmpd="sng">
                              <a:solidFill>
                                <a:srgbClr val="000000"/>
                              </a:solidFill>
                              <a:prstDash val="solid"/>
                              <a:headEnd type="triangle" w="med" len="med"/>
                              <a:tailEnd type="triangle" w="med" len="med"/>
                            </a:ln>
                            <a:effectLst/>
                          </wps:spPr>
                          <wps:bodyPr/>
                        </wps:wsp>
                        <wps:wsp>
                          <wps:cNvPr id="10" name="直接箭头连接符 10"/>
                          <wps:cNvCnPr/>
                          <wps:spPr>
                            <a:xfrm>
                              <a:off x="2425" y="4211"/>
                              <a:ext cx="0" cy="4207"/>
                            </a:xfrm>
                            <a:prstGeom prst="straightConnector1">
                              <a:avLst/>
                            </a:prstGeom>
                            <a:ln w="9525" cap="flat" cmpd="sng">
                              <a:solidFill>
                                <a:srgbClr val="000000"/>
                              </a:solidFill>
                              <a:prstDash val="solid"/>
                              <a:headEnd type="triangle" w="med" len="med"/>
                              <a:tailEnd type="triangle" w="med" len="med"/>
                            </a:ln>
                            <a:effectLst/>
                          </wps:spPr>
                          <wps:bodyPr/>
                        </wps:wsp>
                        <wpg:grpSp>
                          <wpg:cNvPr id="33" name="组合 33"/>
                          <wpg:cNvGrpSpPr/>
                          <wpg:grpSpPr>
                            <a:xfrm>
                              <a:off x="2" y="4219"/>
                              <a:ext cx="4979" cy="189"/>
                              <a:chOff x="0" y="0"/>
                              <a:chExt cx="4979" cy="189"/>
                            </a:xfrm>
                            <a:effectLst/>
                          </wpg:grpSpPr>
                          <wps:wsp>
                            <wps:cNvPr id="11" name="直接箭头连接符 11"/>
                            <wps:cNvCnPr/>
                            <wps:spPr>
                              <a:xfrm flipH="1">
                                <a:off x="0"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2" name="直接箭头连接符 12"/>
                            <wps:cNvCnPr/>
                            <wps:spPr>
                              <a:xfrm flipH="1">
                                <a:off x="22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3" name="直接箭头连接符 13"/>
                            <wps:cNvCnPr/>
                            <wps:spPr>
                              <a:xfrm flipH="1">
                                <a:off x="45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4" name="直接箭头连接符 14"/>
                            <wps:cNvCnPr/>
                            <wps:spPr>
                              <a:xfrm flipH="1">
                                <a:off x="689"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5" name="直接箭头连接符 15"/>
                            <wps:cNvCnPr/>
                            <wps:spPr>
                              <a:xfrm flipH="1">
                                <a:off x="91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6" name="直接箭头连接符 16"/>
                            <wps:cNvCnPr/>
                            <wps:spPr>
                              <a:xfrm flipH="1">
                                <a:off x="114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7" name="直接箭头连接符 17"/>
                            <wps:cNvCnPr/>
                            <wps:spPr>
                              <a:xfrm flipH="1">
                                <a:off x="1378"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8" name="直接箭头连接符 18"/>
                            <wps:cNvCnPr/>
                            <wps:spPr>
                              <a:xfrm flipH="1">
                                <a:off x="160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19" name="直接箭头连接符 19"/>
                            <wps:cNvCnPr/>
                            <wps:spPr>
                              <a:xfrm flipH="1">
                                <a:off x="183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0" name="直接箭头连接符 20"/>
                            <wps:cNvCnPr/>
                            <wps:spPr>
                              <a:xfrm flipH="1">
                                <a:off x="2067"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1" name="直接箭头连接符 21"/>
                            <wps:cNvCnPr/>
                            <wps:spPr>
                              <a:xfrm flipH="1">
                                <a:off x="229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2" name="直接箭头连接符 22"/>
                            <wps:cNvCnPr/>
                            <wps:spPr>
                              <a:xfrm flipH="1">
                                <a:off x="252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3" name="直接箭头连接符 23"/>
                            <wps:cNvCnPr/>
                            <wps:spPr>
                              <a:xfrm flipH="1">
                                <a:off x="298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4" name="直接箭头连接符 24"/>
                            <wps:cNvCnPr/>
                            <wps:spPr>
                              <a:xfrm flipH="1">
                                <a:off x="344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5" name="直接箭头连接符 25"/>
                            <wps:cNvCnPr/>
                            <wps:spPr>
                              <a:xfrm flipH="1">
                                <a:off x="482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6" name="直接箭头连接符 26"/>
                            <wps:cNvCnPr/>
                            <wps:spPr>
                              <a:xfrm flipH="1">
                                <a:off x="390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7" name="直接箭头连接符 27"/>
                            <wps:cNvCnPr/>
                            <wps:spPr>
                              <a:xfrm flipH="1">
                                <a:off x="4134"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8" name="直接箭头连接符 28"/>
                            <wps:cNvCnPr/>
                            <wps:spPr>
                              <a:xfrm flipH="1">
                                <a:off x="459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29" name="直接箭头连接符 29"/>
                            <wps:cNvCnPr/>
                            <wps:spPr>
                              <a:xfrm flipH="1">
                                <a:off x="4363"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0" name="直接箭头连接符 30"/>
                            <wps:cNvCnPr/>
                            <wps:spPr>
                              <a:xfrm flipH="1">
                                <a:off x="2756"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1" name="直接箭头连接符 31"/>
                            <wps:cNvCnPr/>
                            <wps:spPr>
                              <a:xfrm flipH="1">
                                <a:off x="3215" y="0"/>
                                <a:ext cx="156" cy="189"/>
                              </a:xfrm>
                              <a:prstGeom prst="straightConnector1">
                                <a:avLst/>
                              </a:prstGeom>
                              <a:ln w="9525" cap="flat" cmpd="sng">
                                <a:solidFill>
                                  <a:srgbClr val="000000"/>
                                </a:solidFill>
                                <a:prstDash val="solid"/>
                                <a:headEnd type="none" w="med" len="med"/>
                                <a:tailEnd type="none" w="med" len="med"/>
                              </a:ln>
                              <a:effectLst/>
                            </wps:spPr>
                            <wps:bodyPr/>
                          </wps:wsp>
                          <wps:wsp>
                            <wps:cNvPr id="32" name="直接箭头连接符 32"/>
                            <wps:cNvCnPr/>
                            <wps:spPr>
                              <a:xfrm flipH="1">
                                <a:off x="3674" y="0"/>
                                <a:ext cx="156" cy="189"/>
                              </a:xfrm>
                              <a:prstGeom prst="straightConnector1">
                                <a:avLst/>
                              </a:prstGeom>
                              <a:ln w="9525" cap="flat" cmpd="sng">
                                <a:solidFill>
                                  <a:srgbClr val="000000"/>
                                </a:solidFill>
                                <a:prstDash val="solid"/>
                                <a:headEnd type="none" w="med" len="med"/>
                                <a:tailEnd type="none" w="med" len="med"/>
                              </a:ln>
                              <a:effectLst/>
                            </wps:spPr>
                            <wps:bodyPr/>
                          </wps:wsp>
                        </wpg:grpSp>
                      </wpg:grpSp>
                      <wps:wsp>
                        <wps:cNvPr id="35" name="文本框 35"/>
                        <wps:cNvSpPr txBox="1"/>
                        <wps:spPr>
                          <a:xfrm>
                            <a:off x="4765" y="1777"/>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7961FD1">
                              <w:pPr>
                                <w:rPr>
                                  <w:sz w:val="32"/>
                                  <w:szCs w:val="32"/>
                                </w:rPr>
                              </w:pPr>
                              <w:r>
                                <w:rPr>
                                  <w:rFonts w:hint="eastAsia" w:eastAsia="宋体"/>
                                  <w:sz w:val="32"/>
                                  <w:szCs w:val="32"/>
                                </w:rPr>
                                <w:t>h=    m</w:t>
                              </w:r>
                            </w:p>
                          </w:txbxContent>
                        </wps:txbx>
                        <wps:bodyPr vert="horz" wrap="square" anchor="t" anchorCtr="0" upright="1">
                          <a:spAutoFit/>
                        </wps:bodyPr>
                      </wps:wsp>
                      <wps:wsp>
                        <wps:cNvPr id="36" name="文本框 36"/>
                        <wps:cNvSpPr txBox="1"/>
                        <wps:spPr>
                          <a:xfrm>
                            <a:off x="4774" y="6213"/>
                            <a:ext cx="3385"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1A118A4D">
                              <w:pPr>
                                <w:rPr>
                                  <w:sz w:val="32"/>
                                  <w:szCs w:val="32"/>
                                </w:rPr>
                              </w:pPr>
                              <w:r>
                                <w:rPr>
                                  <w:rFonts w:hint="eastAsia" w:eastAsia="宋体"/>
                                  <w:sz w:val="32"/>
                                  <w:szCs w:val="32"/>
                                </w:rPr>
                                <w:t>h=    m</w:t>
                              </w:r>
                            </w:p>
                          </w:txbxContent>
                        </wps:txbx>
                        <wps:bodyPr vert="horz" wrap="square" anchor="t" anchorCtr="0" upright="1">
                          <a:spAutoFit/>
                        </wps:bodyPr>
                      </wps:wsp>
                      <wps:wsp>
                        <wps:cNvPr id="37" name="文本框 37"/>
                        <wps:cNvSpPr txBox="1"/>
                        <wps:spPr>
                          <a:xfrm>
                            <a:off x="7096" y="7766"/>
                            <a:ext cx="2060"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wps:txbx>
                        <wps:bodyPr vert="horz" wrap="square" anchor="t" anchorCtr="0" upright="1">
                          <a:spAutoFit/>
                        </wps:bodyPr>
                      </wps:wsp>
                      <wps:wsp>
                        <wps:cNvPr id="38" name="文本框 38"/>
                        <wps:cNvSpPr txBox="1"/>
                        <wps:spPr>
                          <a:xfrm>
                            <a:off x="7170" y="4139"/>
                            <a:ext cx="2271"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wps:txbx>
                        <wps:bodyPr vert="horz" wrap="square" anchor="t" anchorCtr="0" upright="1">
                          <a:spAutoFit/>
                        </wps:bodyPr>
                      </wps:wsp>
                      <wps:wsp>
                        <wps:cNvPr id="39" name="文本框 39"/>
                        <wps:cNvSpPr txBox="1"/>
                        <wps:spPr>
                          <a:xfrm>
                            <a:off x="7103" y="0"/>
                            <a:ext cx="2052" cy="783"/>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wps:txbx>
                        <wps:bodyPr vert="horz" wrap="square" anchor="t" anchorCtr="0" upright="1">
                          <a:spAutoFit/>
                        </wps:bodyPr>
                      </wps:wsp>
                    </wpg:wgp>
                  </a:graphicData>
                </a:graphic>
              </wp:anchor>
            </w:drawing>
          </mc:Choice>
          <mc:Fallback>
            <w:pict>
              <v:group id="_x0000_s1026" o:spid="_x0000_s1026" o:spt="203" style="position:absolute;left:0pt;margin-left:-59.45pt;margin-top:27.2pt;height:436.85pt;width:472.05pt;z-index:251662336;mso-width-relative:page;mso-height-relative:page;" coordsize="9441,8737" o:gfxdata="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">
                <o:lock v:ext="edit" aspectratio="f"/>
                <v:shape id="_x0000_s1026" o:spid="_x0000_s1026" o:spt="202" type="#_x0000_t202" style="position:absolute;left:0;top:2800;height:3445;width:1693;" fillcolor="#FFFFFF" filled="t" stroked="t" coordsize="21600,21600" o:gfxdata="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SbLK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style="layout-flow:vertical-ideographic;">
                    <w:txbxContent>
                      <w:p w14:paraId="21E4DFB4">
                        <w:pPr>
                          <w:jc w:val="center"/>
                          <w:rPr>
                            <w:rFonts w:hint="eastAsia" w:ascii="方正楷体简体" w:eastAsia="方正楷体简体"/>
                            <w:spacing w:val="60"/>
                            <w:sz w:val="36"/>
                            <w:szCs w:val="36"/>
                          </w:rPr>
                        </w:pPr>
                        <w:r>
                          <w:rPr>
                            <w:rFonts w:hint="eastAsia" w:ascii="方正楷体简体" w:eastAsia="方正楷体简体"/>
                            <w:spacing w:val="60"/>
                            <w:sz w:val="36"/>
                            <w:szCs w:val="36"/>
                          </w:rPr>
                          <w:t>粘贴线</w:t>
                        </w:r>
                      </w:p>
                      <w:p w14:paraId="344194EC">
                        <w:pPr>
                          <w:jc w:val="center"/>
                          <w:rPr>
                            <w:rFonts w:hint="eastAsia" w:ascii="方正楷体简体" w:eastAsia="方正楷体简体"/>
                            <w:spacing w:val="60"/>
                            <w:sz w:val="36"/>
                            <w:szCs w:val="36"/>
                          </w:rPr>
                        </w:pPr>
                        <w:r>
                          <w:rPr>
                            <w:rFonts w:hint="eastAsia" w:ascii="方正楷体简体" w:eastAsia="宋体"/>
                            <w:spacing w:val="60"/>
                            <w:sz w:val="36"/>
                            <w:szCs w:val="36"/>
                          </w:rPr>
                          <w:t>∣∣∣∣∣∣</w:t>
                        </w:r>
                      </w:p>
                    </w:txbxContent>
                  </v:textbox>
                </v:shape>
                <v:group id="_x0000_s1026" o:spid="_x0000_s1026" o:spt="203" style="position:absolute;left:1843;top:319;height:8418;width:6688;" coordsize="6688,8418"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0;top:3;height:0;width:5244;" filled="f" stroked="t" coordsize="21600,21600" o:gfxdata="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CsVr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0;height:8408;width:0;" filled="f" stroked="t" coordsize="21600,21600" o:gfxdata="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gIyI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0;top:8408;height:0;width:6688;"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0;top:4218;height:0;width:5244;"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2413;top:0;height:4212;width:0;" filled="f" stroked="t" coordsize="21600,21600" o:gfxdata="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ncsi8AAAA&#10;2gAAAA8AAAAAAAAAAQAgAAAAIgAAAGRycy9kb3ducmV2LnhtbFBLAQIUABQAAAAIAIdO4kAzLwWe&#10;OwAAADkAAAAQAAAAAAAAAAEAIAAAAAsBAABkcnMvc2hhcGV4bWwueG1sUEsFBgAAAAAGAAYAWwEA&#10;ALUDAAAAAA==&#10;">
                    <v:fill on="f" focussize="0,0"/>
                    <v:stroke color="#000000" joinstyle="round" startarrow="block" endarrow="block"/>
                    <v:imagedata o:title=""/>
                    <o:lock v:ext="edit" aspectratio="f"/>
                  </v:shape>
                  <v:shape id="_x0000_s1026" o:spid="_x0000_s1026" o:spt="32" type="#_x0000_t32" style="position:absolute;left:2425;top:4211;height:4207;width:0;" filled="f" stroked="t" coordsize="21600,21600" o:gfxdata="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QmVXb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shape>
                  <v:group id="_x0000_s1026" o:spid="_x0000_s1026" o:spt="203" style="position:absolute;left:2;top:4219;height:189;width:4979;" coordsize="4979,189"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0;top:0;flip:x;height:189;width:156;" filled="f" stroked="t" coordsize="21600,21600" o:gfxdata="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8m1XK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229;top:0;flip:x;height:189;width:156;" filled="f" stroked="t" coordsize="21600,21600" o:gfxdata="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9EsF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459;top:0;flip:x;height:189;width:156;" filled="f" stroked="t" coordsize="21600,21600" o:gfxdata="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47p6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689;top:0;flip:x;height:189;width:156;" filled="f" stroked="t" coordsize="21600,21600" o:gfxdata="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Xbq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918;top:0;flip:x;height:189;width:156;" filled="f" stroked="t" coordsize="21600,21600" o:gfxdata="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Ad03G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shape>
                    <v:shape id="_x0000_s1026" o:spid="_x0000_s1026" o:spt="32" type="#_x0000_t32" style="position:absolute;left:1148;top:0;flip:x;height:189;width:156;" filled="f" stroked="t" coordsize="21600,21600" o:gfxdata="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z00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1378;top:0;flip:x;height:189;width:156;" filled="f" stroked="t" coordsize="21600,21600" o:gfxdata="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g+id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shape>
                    <v:shape id="_x0000_s1026" o:spid="_x0000_s1026" o:spt="32" type="#_x0000_t32" style="position:absolute;left:1607;top:0;flip:x;height:189;width:156;" filled="f" stroked="t" coordsize="21600,21600" o:gfxdata="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cf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1837;top:0;flip:x;height:189;width:156;" filled="f" stroked="t" coordsize="21600,21600" o:gfxdata="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UNl0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2067;top:0;flip:x;height:189;width:156;" filled="f" stroked="t" coordsize="21600,21600" o:gfxdata="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ga6VL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2296;top:0;flip:x;height:189;width:156;" filled="f" stroked="t" coordsize="21600,21600" o:gfxdata="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FKH8+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2526;top:0;flip:x;height:189;width:156;" filled="f" stroked="t" coordsize="21600,21600" o:gfxdata="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mIG4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2985;top:0;flip:x;height:189;width:156;" filled="f" stroked="t" coordsize="21600,21600" o:gfxdata="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QkI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3445;top:0;flip:x;height:189;width:156;" filled="f" stroked="t" coordsize="21600,21600" o:gfxdata="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E9vF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823;top:0;flip:x;height:189;width:156;" filled="f" stroked="t" coordsize="21600,21600" o:gfxdata="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cRnM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26" o:spid="_x0000_s1026" o:spt="32" type="#_x0000_t32" style="position:absolute;left:3904;top:0;flip:x;height:189;width:156;" filled="f" stroked="t" coordsize="21600,21600" o:gfxdata="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OHu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4134;top:0;flip:x;height:189;width:156;" filled="f" stroked="t" coordsize="21600,21600" o:gfxdata="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vIi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26" o:spid="_x0000_s1026" o:spt="32" type="#_x0000_t32" style="position:absolute;left:4593;top:0;flip:x;height:189;width:156;" filled="f" stroked="t" coordsize="21600,21600" o:gfxdata="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HC2UrUAAADbAAAADwAA&#10;AAAAAAABACAAAAAiAAAAZHJzL2Rvd25yZXYueG1sUEsBAhQAFAAAAAgAh07iQDMvBZ47AAAAOQAA&#10;ABAAAAAAAAAAAQAgAAAABAEAAGRycy9zaGFwZXhtbC54bWxQSwUGAAAAAAYABgBbAQAArgMAAAAA&#10;">
                      <v:fill on="f" focussize="0,0"/>
                      <v:stroke color="#000000" joinstyle="round"/>
                      <v:imagedata o:title=""/>
                      <o:lock v:ext="edit" aspectratio="f"/>
                    </v:shape>
                    <v:shape id="_x0000_s1026" o:spid="_x0000_s1026" o:spt="32" type="#_x0000_t32" style="position:absolute;left:4363;top:0;flip:x;height:189;width:156;" filled="f" stroked="t" coordsize="21600,21600" o:gfxdata="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zwTy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026" o:spid="_x0000_s1026" o:spt="32" type="#_x0000_t32" style="position:absolute;left:2756;top:0;flip:x;height:189;width:156;" filled="f" stroked="t" coordsize="21600,21600" o:gfxdata="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98sibgAAADbAAAA&#10;DwAAAAAAAAABACAAAAAiAAAAZHJzL2Rvd25yZXYueG1sUEsBAhQAFAAAAAgAh07iQDMvBZ47AAAA&#10;OQAAABAAAAAAAAAAAQAgAAAABwEAAGRycy9zaGFwZXhtbC54bWxQSwUGAAAAAAYABgBbAQAAsQMA&#10;AAAA&#10;">
                      <v:fill on="f" focussize="0,0"/>
                      <v:stroke color="#000000" joinstyle="round"/>
                      <v:imagedata o:title=""/>
                      <o:lock v:ext="edit" aspectratio="f"/>
                    </v:shape>
                    <v:shape id="_x0000_s1026" o:spid="_x0000_s1026" o:spt="32" type="#_x0000_t32" style="position:absolute;left:3215;top:0;flip:x;height:189;width:156;" filled="f" stroked="t" coordsize="21600,21600" o:gfxdata="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k4kS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26" o:spid="_x0000_s1026" o:spt="32" type="#_x0000_t32" style="position:absolute;left:3674;top:0;flip:x;height:189;width:156;" filled="f" stroked="t" coordsize="21600,21600" o:gfxdata="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EEXZ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shape id="_x0000_s1026" o:spid="_x0000_s1026" o:spt="202" type="#_x0000_t202" style="position:absolute;left:4765;top:1777;height:783;width:3385;" fillcolor="#FFFFFF" filled="t" stroked="t" coordsize="21600,21600" o:gfxdata="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8k8vQAA&#10;ANsAAAAPAAAAAAAAAAEAIAAAACIAAABkcnMvZG93bnJldi54bWxQSwECFAAUAAAACACHTuJAMy8F&#10;njsAAAA5AAAAEAAAAAAAAAABACAAAAAMAQAAZHJzL3NoYXBleG1sLnhtbFBLBQYAAAAABgAGAFsB&#10;AAC2AwAAAAA=&#10;">
                  <v:fill on="t" focussize="0,0"/>
                  <v:stroke color="#FFFFFF" joinstyle="miter"/>
                  <v:imagedata o:title=""/>
                  <o:lock v:ext="edit" aspectratio="f"/>
                  <v:textbox style="mso-fit-shape-to-text:t;">
                    <w:txbxContent>
                      <w:p w14:paraId="07961FD1">
                        <w:pPr>
                          <w:rPr>
                            <w:sz w:val="32"/>
                            <w:szCs w:val="32"/>
                          </w:rPr>
                        </w:pPr>
                        <w:r>
                          <w:rPr>
                            <w:rFonts w:hint="eastAsia" w:eastAsia="宋体"/>
                            <w:sz w:val="32"/>
                            <w:szCs w:val="32"/>
                          </w:rPr>
                          <w:t>h=    m</w:t>
                        </w:r>
                      </w:p>
                    </w:txbxContent>
                  </v:textbox>
                </v:shape>
                <v:shape id="_x0000_s1026" o:spid="_x0000_s1026" o:spt="202" type="#_x0000_t202" style="position:absolute;left:4774;top:6213;height:783;width:3385;" fillcolor="#FFFFFF" filled="t" stroked="t" coordsize="21600,21600" o:gfxdata="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ytV0u/&#10;AAAA2wAAAA8AAAAAAAAAAQAgAAAAIgAAAGRycy9kb3ducmV2LnhtbFBLAQIUABQAAAAIAIdO4kAz&#10;LwWeOwAAADkAAAAQAAAAAAAAAAEAIAAAAA4BAABkcnMvc2hhcGV4bWwueG1sUEsFBgAAAAAGAAYA&#10;WwEAALgDAAAAAA==&#10;">
                  <v:fill on="t" focussize="0,0"/>
                  <v:stroke color="#FFFFFF" joinstyle="miter"/>
                  <v:imagedata o:title=""/>
                  <o:lock v:ext="edit" aspectratio="f"/>
                  <v:textbox style="mso-fit-shape-to-text:t;">
                    <w:txbxContent>
                      <w:p w14:paraId="1A118A4D">
                        <w:pPr>
                          <w:rPr>
                            <w:sz w:val="32"/>
                            <w:szCs w:val="32"/>
                          </w:rPr>
                        </w:pPr>
                        <w:r>
                          <w:rPr>
                            <w:rFonts w:hint="eastAsia" w:eastAsia="宋体"/>
                            <w:sz w:val="32"/>
                            <w:szCs w:val="32"/>
                          </w:rPr>
                          <w:t>h=    m</w:t>
                        </w:r>
                      </w:p>
                    </w:txbxContent>
                  </v:textbox>
                </v:shape>
                <v:shape id="_x0000_s1026" o:spid="_x0000_s1026" o:spt="202" type="#_x0000_t202" style="position:absolute;left:7096;top:7766;height:783;width:2060;" fillcolor="#FFFFFF" filled="t" stroked="t" coordsize="21600,21600" o:gfxdata="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Hy0L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89E64C4">
                        <w:pPr>
                          <w:rPr>
                            <w:rFonts w:hint="eastAsia" w:ascii="方正楷体简体" w:eastAsia="方正楷体简体"/>
                            <w:sz w:val="32"/>
                            <w:szCs w:val="32"/>
                          </w:rPr>
                        </w:pPr>
                        <w:r>
                          <w:rPr>
                            <w:rFonts w:hint="eastAsia" w:ascii="方正楷体简体" w:eastAsia="方正楷体简体"/>
                            <w:sz w:val="32"/>
                            <w:szCs w:val="32"/>
                          </w:rPr>
                          <w:t>下界限高程</w:t>
                        </w:r>
                      </w:p>
                    </w:txbxContent>
                  </v:textbox>
                </v:shape>
                <v:shape id="_x0000_s1026" o:spid="_x0000_s1026" o:spt="202" type="#_x0000_t202" style="position:absolute;left:7170;top:4139;height:783;width:2271;" fillcolor="#FFFFFF" filled="t" stroked="t" coordsize="21600,21600" o:gfxdata="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n5mor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style="mso-fit-shape-to-text:t;">
                    <w:txbxContent>
                      <w:p w14:paraId="7B3755A6">
                        <w:pPr>
                          <w:rPr>
                            <w:rFonts w:hint="eastAsia" w:ascii="方正楷体简体" w:eastAsia="方正楷体简体"/>
                            <w:sz w:val="32"/>
                            <w:szCs w:val="32"/>
                          </w:rPr>
                        </w:pPr>
                        <w:r>
                          <w:rPr>
                            <w:rFonts w:hint="eastAsia" w:ascii="方正楷体简体" w:eastAsia="方正楷体简体"/>
                            <w:sz w:val="32"/>
                            <w:szCs w:val="32"/>
                          </w:rPr>
                          <w:t>高程起算基点</w:t>
                        </w:r>
                      </w:p>
                    </w:txbxContent>
                  </v:textbox>
                </v:shape>
                <v:shape id="_x0000_s1026" o:spid="_x0000_s1026" o:spt="202" type="#_x0000_t202" style="position:absolute;left:7103;top:0;height:783;width:2052;" fillcolor="#FFFFFF" filled="t" stroked="t" coordsize="21600,21600" o:gfxdata="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LDOb4A&#10;AADbAAAADwAAAAAAAAABACAAAAAiAAAAZHJzL2Rvd25yZXYueG1sUEsBAhQAFAAAAAgAh07iQDMv&#10;BZ47AAAAOQAAABAAAAAAAAAAAQAgAAAADQEAAGRycy9zaGFwZXhtbC54bWxQSwUGAAAAAAYABgBb&#10;AQAAtwMAAAAA&#10;">
                  <v:fill on="t" focussize="0,0"/>
                  <v:stroke color="#FFFFFF" joinstyle="miter"/>
                  <v:imagedata o:title=""/>
                  <o:lock v:ext="edit" aspectratio="f"/>
                  <v:textbox style="mso-fit-shape-to-text:t;">
                    <w:txbxContent>
                      <w:p w14:paraId="4CEBB620">
                        <w:pPr>
                          <w:rPr>
                            <w:rFonts w:hint="eastAsia" w:ascii="方正楷体简体" w:eastAsia="方正楷体简体"/>
                            <w:sz w:val="32"/>
                            <w:szCs w:val="32"/>
                          </w:rPr>
                        </w:pPr>
                        <w:r>
                          <w:rPr>
                            <w:rFonts w:hint="eastAsia" w:ascii="方正楷体简体" w:eastAsia="方正楷体简体"/>
                            <w:sz w:val="32"/>
                            <w:szCs w:val="32"/>
                          </w:rPr>
                          <w:t>上界限高程</w:t>
                        </w:r>
                      </w:p>
                    </w:txbxContent>
                  </v:textbox>
                </v:shape>
              </v:group>
            </w:pict>
          </mc:Fallback>
        </mc:AlternateContent>
      </w:r>
    </w:p>
    <w:p w14:paraId="5CE84E78">
      <w:pPr>
        <w:spacing w:line="580" w:lineRule="exact"/>
        <w:jc w:val="center"/>
        <w:rPr>
          <w:rFonts w:hint="eastAsia" w:ascii="仿宋_GB2312" w:hAnsi="宋体" w:eastAsia="仿宋_GB2312" w:cs="楷体_GB2312"/>
          <w:color w:val="auto"/>
          <w:kern w:val="0"/>
          <w:sz w:val="44"/>
          <w:szCs w:val="44"/>
          <w:highlight w:val="none"/>
        </w:rPr>
      </w:pPr>
    </w:p>
    <w:p w14:paraId="6BD2D629">
      <w:pPr>
        <w:spacing w:line="580" w:lineRule="exact"/>
        <w:jc w:val="center"/>
        <w:rPr>
          <w:rFonts w:hint="eastAsia" w:ascii="仿宋_GB2312" w:hAnsi="宋体" w:eastAsia="仿宋_GB2312" w:cs="楷体_GB2312"/>
          <w:color w:val="auto"/>
          <w:kern w:val="0"/>
          <w:sz w:val="44"/>
          <w:szCs w:val="44"/>
          <w:highlight w:val="none"/>
        </w:rPr>
      </w:pPr>
    </w:p>
    <w:p w14:paraId="42F88B1C">
      <w:pPr>
        <w:spacing w:line="580" w:lineRule="exact"/>
        <w:jc w:val="center"/>
        <w:rPr>
          <w:rFonts w:hint="eastAsia" w:ascii="仿宋_GB2312" w:hAnsi="宋体" w:eastAsia="仿宋_GB2312" w:cs="楷体_GB2312"/>
          <w:color w:val="auto"/>
          <w:kern w:val="0"/>
          <w:sz w:val="44"/>
          <w:szCs w:val="44"/>
          <w:highlight w:val="none"/>
        </w:rPr>
      </w:pPr>
    </w:p>
    <w:p w14:paraId="52D648C9">
      <w:pPr>
        <w:spacing w:line="580" w:lineRule="exact"/>
        <w:jc w:val="center"/>
        <w:rPr>
          <w:rFonts w:hint="eastAsia" w:ascii="仿宋_GB2312" w:hAnsi="宋体" w:eastAsia="仿宋_GB2312" w:cs="楷体_GB2312"/>
          <w:color w:val="auto"/>
          <w:kern w:val="0"/>
          <w:sz w:val="44"/>
          <w:szCs w:val="44"/>
          <w:highlight w:val="none"/>
        </w:rPr>
      </w:pPr>
    </w:p>
    <w:p w14:paraId="77A119FA">
      <w:pPr>
        <w:spacing w:line="580" w:lineRule="exact"/>
        <w:jc w:val="center"/>
        <w:rPr>
          <w:rFonts w:hint="eastAsia" w:ascii="仿宋_GB2312" w:hAnsi="宋体" w:eastAsia="仿宋_GB2312" w:cs="楷体_GB2312"/>
          <w:color w:val="auto"/>
          <w:kern w:val="0"/>
          <w:sz w:val="44"/>
          <w:szCs w:val="44"/>
          <w:highlight w:val="none"/>
        </w:rPr>
      </w:pPr>
    </w:p>
    <w:p w14:paraId="28C120FE">
      <w:pPr>
        <w:spacing w:line="580" w:lineRule="exact"/>
        <w:jc w:val="center"/>
        <w:rPr>
          <w:rFonts w:hint="eastAsia" w:ascii="仿宋_GB2312" w:hAnsi="宋体" w:eastAsia="仿宋_GB2312" w:cs="楷体_GB2312"/>
          <w:color w:val="auto"/>
          <w:kern w:val="0"/>
          <w:sz w:val="44"/>
          <w:szCs w:val="44"/>
          <w:highlight w:val="none"/>
        </w:rPr>
      </w:pPr>
    </w:p>
    <w:p w14:paraId="61D3C5A2">
      <w:pPr>
        <w:spacing w:line="580" w:lineRule="exact"/>
        <w:jc w:val="center"/>
        <w:rPr>
          <w:rFonts w:hint="eastAsia" w:ascii="仿宋_GB2312" w:hAnsi="宋体" w:eastAsia="仿宋_GB2312" w:cs="楷体_GB2312"/>
          <w:color w:val="auto"/>
          <w:kern w:val="0"/>
          <w:sz w:val="44"/>
          <w:szCs w:val="44"/>
          <w:highlight w:val="none"/>
        </w:rPr>
      </w:pPr>
    </w:p>
    <w:p w14:paraId="1A6FB348">
      <w:pPr>
        <w:spacing w:line="580" w:lineRule="exact"/>
        <w:jc w:val="center"/>
        <w:rPr>
          <w:rFonts w:hint="eastAsia" w:ascii="仿宋_GB2312" w:hAnsi="宋体" w:eastAsia="仿宋_GB2312" w:cs="楷体_GB2312"/>
          <w:color w:val="auto"/>
          <w:kern w:val="0"/>
          <w:sz w:val="44"/>
          <w:szCs w:val="44"/>
          <w:highlight w:val="none"/>
        </w:rPr>
      </w:pPr>
    </w:p>
    <w:p w14:paraId="516A8E4E">
      <w:pPr>
        <w:spacing w:line="580" w:lineRule="exact"/>
        <w:jc w:val="center"/>
        <w:rPr>
          <w:rFonts w:hint="eastAsia" w:ascii="仿宋_GB2312" w:hAnsi="宋体" w:eastAsia="仿宋_GB2312" w:cs="楷体_GB2312"/>
          <w:color w:val="auto"/>
          <w:kern w:val="0"/>
          <w:sz w:val="44"/>
          <w:szCs w:val="44"/>
          <w:highlight w:val="none"/>
        </w:rPr>
      </w:pPr>
    </w:p>
    <w:p w14:paraId="074A1C35">
      <w:pPr>
        <w:spacing w:line="580" w:lineRule="exact"/>
        <w:jc w:val="center"/>
        <w:rPr>
          <w:rFonts w:hint="eastAsia" w:ascii="仿宋_GB2312" w:hAnsi="宋体" w:eastAsia="仿宋_GB2312" w:cs="楷体_GB2312"/>
          <w:color w:val="auto"/>
          <w:kern w:val="0"/>
          <w:sz w:val="44"/>
          <w:szCs w:val="44"/>
          <w:highlight w:val="none"/>
        </w:rPr>
      </w:pPr>
    </w:p>
    <w:p w14:paraId="44DB51D0">
      <w:pPr>
        <w:spacing w:line="580" w:lineRule="exact"/>
        <w:jc w:val="center"/>
        <w:rPr>
          <w:rFonts w:hint="eastAsia" w:ascii="仿宋_GB2312" w:hAnsi="宋体" w:eastAsia="仿宋_GB2312" w:cs="楷体_GB2312"/>
          <w:color w:val="auto"/>
          <w:kern w:val="0"/>
          <w:sz w:val="44"/>
          <w:szCs w:val="44"/>
          <w:highlight w:val="none"/>
        </w:rPr>
      </w:pPr>
    </w:p>
    <w:p w14:paraId="0069B854">
      <w:pPr>
        <w:spacing w:line="580" w:lineRule="exact"/>
        <w:jc w:val="center"/>
        <w:rPr>
          <w:rFonts w:hint="eastAsia" w:ascii="仿宋_GB2312" w:hAnsi="宋体" w:eastAsia="仿宋_GB2312" w:cs="楷体_GB2312"/>
          <w:color w:val="auto"/>
          <w:kern w:val="0"/>
          <w:sz w:val="44"/>
          <w:szCs w:val="44"/>
          <w:highlight w:val="none"/>
        </w:rPr>
      </w:pPr>
    </w:p>
    <w:p w14:paraId="41CB954F">
      <w:pPr>
        <w:spacing w:line="580" w:lineRule="exact"/>
        <w:jc w:val="center"/>
        <w:rPr>
          <w:rFonts w:hint="eastAsia" w:ascii="仿宋_GB2312" w:hAnsi="宋体" w:eastAsia="仿宋_GB2312" w:cs="楷体_GB2312"/>
          <w:color w:val="auto"/>
          <w:kern w:val="0"/>
          <w:sz w:val="44"/>
          <w:szCs w:val="44"/>
          <w:highlight w:val="none"/>
        </w:rPr>
      </w:pPr>
    </w:p>
    <w:p w14:paraId="305D72CF">
      <w:pPr>
        <w:spacing w:line="580" w:lineRule="exact"/>
        <w:jc w:val="center"/>
        <w:rPr>
          <w:rFonts w:hint="eastAsia" w:ascii="仿宋_GB2312" w:hAnsi="宋体" w:eastAsia="仿宋_GB2312" w:cs="楷体_GB2312"/>
          <w:color w:val="auto"/>
          <w:kern w:val="0"/>
          <w:sz w:val="44"/>
          <w:szCs w:val="44"/>
          <w:highlight w:val="none"/>
        </w:rPr>
      </w:pPr>
    </w:p>
    <w:p w14:paraId="6DA06D88">
      <w:pPr>
        <w:spacing w:line="580" w:lineRule="exact"/>
        <w:jc w:val="center"/>
        <w:rPr>
          <w:rFonts w:hint="eastAsia" w:ascii="仿宋_GB2312" w:hAnsi="宋体" w:eastAsia="仿宋_GB2312" w:cs="楷体_GB2312"/>
          <w:color w:val="auto"/>
          <w:kern w:val="0"/>
          <w:sz w:val="44"/>
          <w:szCs w:val="44"/>
          <w:highlight w:val="none"/>
        </w:rPr>
      </w:pPr>
      <w:r>
        <w:rPr>
          <w:rFonts w:hint="eastAsia" w:ascii="仿宋_GB2312" w:hAnsi="宋体" w:eastAsia="仿宋_GB2312" w:cs="楷体_GB2312"/>
          <w:color w:val="auto"/>
          <w:kern w:val="0"/>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-409575</wp:posOffset>
                </wp:positionH>
                <wp:positionV relativeFrom="paragraph">
                  <wp:posOffset>195580</wp:posOffset>
                </wp:positionV>
                <wp:extent cx="5779135" cy="0"/>
                <wp:effectExtent l="0" t="4445" r="0" b="0"/>
                <wp:wrapNone/>
                <wp:docPr id="41" name="直接箭头连接符 41"/>
                <wp:cNvGraphicFramePr/>
                <a:graphic xmlns:a="http://schemas.openxmlformats.org/drawingml/2006/main">
                  <a:graphicData uri="http://schemas.microsoft.com/office/word/2010/wordprocessingShape">
                    <wps:wsp>
                      <wps:cNvCnPr/>
                      <wps:spPr>
                        <a:xfrm>
                          <a:off x="0" y="0"/>
                          <a:ext cx="57791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2.25pt;margin-top:15.4pt;height:0pt;width:455.05pt;z-index:251663360;mso-width-relative:page;mso-height-relative:page;" filled="f" stroked="t" coordsize="21600,21600" o:gfxdata="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cfsvXAAAACQEAAA8AAAAAAAAAAQAgAAAAIgAAAGRycy9k&#10;b3ducmV2LnhtbFBLAQIUABQAAAAIAIdO4kBORjsbAwIAAPwDAAAOAAAAAAAAAAEAIAAAACYBAABk&#10;cnMvZTJvRG9jLnhtbFBLBQYAAAAABgAGAFkBAACbBQAAAAA=&#10;">
                <v:fill on="f" focussize="0,0"/>
                <v:stroke color="#000000" joinstyle="round"/>
                <v:imagedata o:title=""/>
                <o:lock v:ext="edit" aspectratio="f"/>
              </v:shape>
            </w:pict>
          </mc:Fallback>
        </mc:AlternateContent>
      </w:r>
    </w:p>
    <w:p w14:paraId="6CBC12DB">
      <w:pPr>
        <w:spacing w:line="580" w:lineRule="exact"/>
        <w:jc w:val="center"/>
        <w:rPr>
          <w:rFonts w:hint="eastAsia" w:ascii="仿宋_GB2312" w:hAnsi="宋体" w:eastAsia="仿宋_GB2312" w:cs="楷体_GB2312"/>
          <w:color w:val="auto"/>
          <w:kern w:val="0"/>
          <w:sz w:val="44"/>
          <w:szCs w:val="44"/>
          <w:highlight w:val="none"/>
        </w:rPr>
      </w:pPr>
    </w:p>
    <w:p w14:paraId="7F4AE6DD">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采用的高程系：</w:t>
      </w:r>
      <w:r>
        <w:rPr>
          <w:rFonts w:hint="eastAsia" w:ascii="仿宋_GB2312" w:hAnsi="宋体" w:eastAsia="仿宋_GB2312" w:cs="楷体_GB2312"/>
          <w:color w:val="auto"/>
          <w:kern w:val="0"/>
          <w:sz w:val="32"/>
          <w:szCs w:val="32"/>
          <w:highlight w:val="none"/>
          <w:u w:val="single"/>
        </w:rPr>
        <w:t xml:space="preserve">            </w:t>
      </w:r>
    </w:p>
    <w:p w14:paraId="36BA941E">
      <w:pPr>
        <w:spacing w:line="580" w:lineRule="exact"/>
        <w:jc w:val="center"/>
        <w:rPr>
          <w:rFonts w:hint="eastAsia" w:ascii="仿宋_GB2312" w:hAnsi="宋体" w:eastAsia="仿宋_GB2312" w:cs="楷体_GB2312"/>
          <w:color w:val="auto"/>
          <w:kern w:val="0"/>
          <w:sz w:val="32"/>
          <w:szCs w:val="32"/>
          <w:highlight w:val="none"/>
        </w:rPr>
      </w:pPr>
      <w:r>
        <w:rPr>
          <w:rFonts w:hint="eastAsia" w:ascii="仿宋_GB2312" w:hAnsi="宋体" w:eastAsia="仿宋_GB2312" w:cs="楷体_GB2312"/>
          <w:color w:val="auto"/>
          <w:kern w:val="0"/>
          <w:sz w:val="32"/>
          <w:szCs w:val="32"/>
          <w:highlight w:val="none"/>
        </w:rPr>
        <w:t>比例尺：1：</w:t>
      </w:r>
      <w:r>
        <w:rPr>
          <w:rFonts w:hint="eastAsia" w:ascii="仿宋_GB2312" w:hAnsi="宋体" w:eastAsia="仿宋_GB2312" w:cs="楷体_GB2312"/>
          <w:color w:val="auto"/>
          <w:kern w:val="0"/>
          <w:sz w:val="32"/>
          <w:szCs w:val="32"/>
          <w:highlight w:val="none"/>
          <w:u w:val="single"/>
        </w:rPr>
        <w:t xml:space="preserve">          </w:t>
      </w:r>
    </w:p>
    <w:p w14:paraId="5283CE0D">
      <w:pPr>
        <w:spacing w:line="580" w:lineRule="exact"/>
        <w:rPr>
          <w:rFonts w:hint="eastAsia" w:ascii="仿宋_GB2312" w:hAnsi="宋体" w:eastAsia="仿宋_GB2312" w:cs="黑体"/>
          <w:b/>
          <w:bCs/>
          <w:color w:val="auto"/>
          <w:kern w:val="0"/>
          <w:sz w:val="36"/>
          <w:szCs w:val="36"/>
          <w:highlight w:val="none"/>
          <w:u w:val="none"/>
        </w:rPr>
      </w:pPr>
      <w:r>
        <w:rPr>
          <w:rFonts w:ascii="仿宋_GB2312" w:hAnsi="宋体" w:eastAsia="仿宋_GB2312" w:cs="仿宋_GB2312"/>
          <w:color w:val="auto"/>
          <w:kern w:val="0"/>
          <w:sz w:val="32"/>
          <w:szCs w:val="32"/>
          <w:highlight w:val="none"/>
        </w:rPr>
        <w:br w:type="page"/>
      </w:r>
      <w:r>
        <w:rPr>
          <w:rFonts w:hint="eastAsia" w:ascii="仿宋_GB2312" w:hAnsi="宋体" w:eastAsia="仿宋_GB2312" w:cs="仿宋_GB2312"/>
          <w:b/>
          <w:bCs/>
          <w:color w:val="auto"/>
          <w:kern w:val="0"/>
          <w:sz w:val="32"/>
          <w:szCs w:val="32"/>
          <w:highlight w:val="none"/>
        </w:rPr>
        <w:t>附件</w:t>
      </w:r>
      <w:r>
        <w:rPr>
          <w:rFonts w:ascii="仿宋_GB2312" w:hAnsi="宋体" w:eastAsia="仿宋_GB2312" w:cs="仿宋_GB2312"/>
          <w:b/>
          <w:bCs/>
          <w:color w:val="auto"/>
          <w:kern w:val="0"/>
          <w:sz w:val="32"/>
          <w:szCs w:val="32"/>
          <w:highlight w:val="none"/>
        </w:rPr>
        <w:t>3</w:t>
      </w:r>
      <w:r>
        <w:rPr>
          <w:rFonts w:hint="eastAsia" w:ascii="仿宋_GB2312" w:hAnsi="宋体" w:eastAsia="仿宋_GB2312" w:cs="黑体"/>
          <w:b/>
          <w:bCs/>
          <w:color w:val="auto"/>
          <w:kern w:val="0"/>
          <w:sz w:val="36"/>
          <w:szCs w:val="36"/>
          <w:highlight w:val="none"/>
          <w:u w:val="none"/>
        </w:rPr>
        <w:t xml:space="preserve"> 市（</w:t>
      </w:r>
      <w:r>
        <w:rPr>
          <w:rFonts w:hint="eastAsia" w:ascii="仿宋_GB2312" w:hAnsi="宋体" w:eastAsia="仿宋_GB2312" w:cs="黑体"/>
          <w:b/>
          <w:bCs/>
          <w:color w:val="auto"/>
          <w:kern w:val="0"/>
          <w:sz w:val="36"/>
          <w:szCs w:val="36"/>
          <w:highlight w:val="none"/>
          <w:u w:val="none"/>
          <w:lang w:eastAsia="zh-CN"/>
        </w:rPr>
        <w:t>区</w:t>
      </w:r>
      <w:r>
        <w:rPr>
          <w:rFonts w:hint="eastAsia" w:ascii="仿宋_GB2312" w:hAnsi="宋体" w:eastAsia="仿宋_GB2312" w:cs="黑体"/>
          <w:b/>
          <w:bCs/>
          <w:color w:val="auto"/>
          <w:kern w:val="0"/>
          <w:sz w:val="36"/>
          <w:szCs w:val="36"/>
          <w:highlight w:val="none"/>
          <w:u w:val="none"/>
        </w:rPr>
        <w:t>）人民政府自然资源主管部门确定的出让宗地规划条件</w:t>
      </w:r>
    </w:p>
    <w:p w14:paraId="6613461C">
      <w:pPr>
        <w:spacing w:line="580" w:lineRule="exact"/>
        <w:rPr>
          <w:rFonts w:hint="eastAsia" w:ascii="仿宋_GB2312" w:hAnsi="宋体" w:eastAsia="仿宋_GB2312" w:cs="黑体"/>
          <w:color w:val="auto"/>
          <w:kern w:val="0"/>
          <w:sz w:val="36"/>
          <w:szCs w:val="36"/>
          <w:highlight w:val="none"/>
        </w:rPr>
      </w:pPr>
    </w:p>
    <w:p w14:paraId="2F6A1714">
      <w:pPr>
        <w:spacing w:line="580" w:lineRule="exact"/>
        <w:rPr>
          <w:rFonts w:hint="eastAsia" w:ascii="仿宋_GB2312" w:hAnsi="宋体" w:eastAsia="仿宋_GB2312" w:cs="黑体"/>
          <w:color w:val="auto"/>
          <w:kern w:val="0"/>
          <w:sz w:val="36"/>
          <w:szCs w:val="36"/>
          <w:highlight w:val="none"/>
        </w:rPr>
      </w:pPr>
    </w:p>
    <w:p w14:paraId="37D16BC9">
      <w:pPr>
        <w:spacing w:line="580" w:lineRule="exact"/>
        <w:rPr>
          <w:rFonts w:hint="eastAsia" w:ascii="仿宋_GB2312" w:hAnsi="宋体" w:eastAsia="仿宋_GB2312" w:cs="仿宋_GB2312"/>
          <w:color w:val="auto"/>
          <w:kern w:val="0"/>
          <w:sz w:val="32"/>
          <w:szCs w:val="32"/>
          <w:highlight w:val="none"/>
        </w:rPr>
      </w:pPr>
    </w:p>
    <w:p w14:paraId="42C90F81">
      <w:pPr>
        <w:spacing w:line="580" w:lineRule="exact"/>
        <w:rPr>
          <w:rFonts w:hint="eastAsia" w:ascii="仿宋_GB2312" w:hAnsi="宋体" w:eastAsia="仿宋_GB2312" w:cs="仿宋_GB2312"/>
          <w:color w:val="auto"/>
          <w:kern w:val="0"/>
          <w:sz w:val="32"/>
          <w:szCs w:val="32"/>
          <w:highlight w:val="none"/>
        </w:rPr>
      </w:pPr>
    </w:p>
    <w:p w14:paraId="0B4A4096">
      <w:pPr>
        <w:spacing w:line="580" w:lineRule="exact"/>
        <w:rPr>
          <w:rFonts w:hint="eastAsia" w:ascii="仿宋_GB2312" w:hAnsi="宋体" w:eastAsia="仿宋_GB2312" w:cs="仿宋_GB2312"/>
          <w:color w:val="auto"/>
          <w:kern w:val="0"/>
          <w:sz w:val="32"/>
          <w:szCs w:val="32"/>
          <w:highlight w:val="none"/>
        </w:rPr>
      </w:pPr>
    </w:p>
    <w:p w14:paraId="642B16AF">
      <w:pPr>
        <w:spacing w:line="580" w:lineRule="exact"/>
        <w:rPr>
          <w:rFonts w:hint="eastAsia" w:ascii="仿宋_GB2312" w:hAnsi="宋体" w:eastAsia="仿宋_GB2312" w:cs="仿宋_GB2312"/>
          <w:color w:val="auto"/>
          <w:kern w:val="0"/>
          <w:sz w:val="32"/>
          <w:szCs w:val="32"/>
          <w:highlight w:val="none"/>
        </w:rPr>
      </w:pPr>
    </w:p>
    <w:p w14:paraId="13A3AB78">
      <w:pPr>
        <w:spacing w:line="580" w:lineRule="exact"/>
        <w:rPr>
          <w:rFonts w:hint="eastAsia" w:ascii="仿宋_GB2312" w:hAnsi="宋体" w:eastAsia="仿宋_GB2312" w:cs="仿宋_GB2312"/>
          <w:color w:val="auto"/>
          <w:kern w:val="0"/>
          <w:sz w:val="32"/>
          <w:szCs w:val="32"/>
          <w:highlight w:val="none"/>
        </w:rPr>
      </w:pPr>
    </w:p>
    <w:p w14:paraId="50AE6BBA">
      <w:pPr>
        <w:spacing w:line="580" w:lineRule="exact"/>
        <w:rPr>
          <w:rFonts w:hint="eastAsia" w:ascii="仿宋_GB2312" w:hAnsi="宋体" w:eastAsia="仿宋_GB2312" w:cs="仿宋_GB2312"/>
          <w:color w:val="auto"/>
          <w:kern w:val="0"/>
          <w:sz w:val="32"/>
          <w:szCs w:val="32"/>
          <w:highlight w:val="none"/>
        </w:rPr>
      </w:pPr>
    </w:p>
    <w:p w14:paraId="6FD875A4">
      <w:pPr>
        <w:spacing w:line="580" w:lineRule="exact"/>
        <w:rPr>
          <w:rFonts w:hint="eastAsia" w:ascii="仿宋_GB2312" w:hAnsi="宋体" w:eastAsia="仿宋_GB2312" w:cs="仿宋_GB2312"/>
          <w:color w:val="auto"/>
          <w:kern w:val="0"/>
          <w:sz w:val="32"/>
          <w:szCs w:val="32"/>
          <w:highlight w:val="none"/>
        </w:rPr>
      </w:pPr>
    </w:p>
    <w:p w14:paraId="44729B89">
      <w:pPr>
        <w:spacing w:line="580" w:lineRule="exact"/>
        <w:rPr>
          <w:rFonts w:hint="eastAsia" w:ascii="仿宋_GB2312" w:hAnsi="宋体" w:eastAsia="仿宋_GB2312" w:cs="仿宋_GB2312"/>
          <w:color w:val="auto"/>
          <w:kern w:val="0"/>
          <w:sz w:val="32"/>
          <w:szCs w:val="32"/>
          <w:highlight w:val="none"/>
        </w:rPr>
      </w:pPr>
    </w:p>
    <w:p w14:paraId="4AE868BE">
      <w:pPr>
        <w:spacing w:line="580" w:lineRule="exact"/>
        <w:rPr>
          <w:rFonts w:hint="eastAsia" w:ascii="仿宋_GB2312" w:hAnsi="宋体" w:eastAsia="仿宋_GB2312" w:cs="仿宋_GB2312"/>
          <w:color w:val="auto"/>
          <w:kern w:val="0"/>
          <w:sz w:val="32"/>
          <w:szCs w:val="32"/>
          <w:highlight w:val="none"/>
        </w:rPr>
      </w:pPr>
    </w:p>
    <w:p w14:paraId="132929DA">
      <w:pPr>
        <w:spacing w:line="580" w:lineRule="exact"/>
        <w:rPr>
          <w:rFonts w:hint="eastAsia" w:ascii="仿宋_GB2312" w:hAnsi="宋体" w:eastAsia="仿宋_GB2312" w:cs="仿宋_GB2312"/>
          <w:color w:val="auto"/>
          <w:kern w:val="0"/>
          <w:sz w:val="32"/>
          <w:szCs w:val="32"/>
          <w:highlight w:val="none"/>
        </w:rPr>
      </w:pPr>
    </w:p>
    <w:p w14:paraId="36468865">
      <w:pPr>
        <w:spacing w:line="580" w:lineRule="exact"/>
        <w:rPr>
          <w:rFonts w:hint="eastAsia" w:ascii="仿宋_GB2312" w:hAnsi="宋体" w:eastAsia="仿宋_GB2312" w:cs="仿宋_GB2312"/>
          <w:color w:val="auto"/>
          <w:kern w:val="0"/>
          <w:sz w:val="32"/>
          <w:szCs w:val="32"/>
          <w:highlight w:val="none"/>
        </w:rPr>
      </w:pPr>
    </w:p>
    <w:p w14:paraId="089D13FB">
      <w:pPr>
        <w:spacing w:line="580" w:lineRule="exact"/>
        <w:rPr>
          <w:rFonts w:hint="eastAsia" w:ascii="仿宋_GB2312" w:hAnsi="宋体" w:eastAsia="仿宋_GB2312" w:cs="仿宋_GB2312"/>
          <w:color w:val="auto"/>
          <w:kern w:val="0"/>
          <w:sz w:val="32"/>
          <w:szCs w:val="32"/>
          <w:highlight w:val="none"/>
        </w:rPr>
      </w:pPr>
    </w:p>
    <w:p w14:paraId="56C35848">
      <w:pPr>
        <w:spacing w:line="580" w:lineRule="exact"/>
        <w:rPr>
          <w:rFonts w:hint="eastAsia" w:ascii="仿宋_GB2312" w:hAnsi="宋体" w:eastAsia="仿宋_GB2312" w:cs="仿宋_GB2312"/>
          <w:color w:val="auto"/>
          <w:kern w:val="0"/>
          <w:sz w:val="32"/>
          <w:szCs w:val="32"/>
          <w:highlight w:val="none"/>
        </w:rPr>
      </w:pPr>
    </w:p>
    <w:p w14:paraId="3A11050D">
      <w:pPr>
        <w:spacing w:line="580" w:lineRule="exact"/>
        <w:rPr>
          <w:rFonts w:hint="eastAsia" w:ascii="仿宋_GB2312" w:hAnsi="宋体" w:eastAsia="仿宋_GB2312" w:cs="仿宋_GB2312"/>
          <w:color w:val="auto"/>
          <w:kern w:val="0"/>
          <w:sz w:val="32"/>
          <w:szCs w:val="32"/>
          <w:highlight w:val="none"/>
        </w:rPr>
      </w:pPr>
    </w:p>
    <w:p w14:paraId="31E4373A">
      <w:pPr>
        <w:spacing w:line="580" w:lineRule="exact"/>
        <w:rPr>
          <w:rFonts w:hint="eastAsia" w:ascii="仿宋_GB2312" w:hAnsi="宋体" w:eastAsia="仿宋_GB2312" w:cs="仿宋_GB2312"/>
          <w:color w:val="auto"/>
          <w:kern w:val="0"/>
          <w:sz w:val="32"/>
          <w:szCs w:val="32"/>
          <w:highlight w:val="none"/>
        </w:rPr>
      </w:pPr>
    </w:p>
    <w:p w14:paraId="30EBB6F0">
      <w:pPr>
        <w:pStyle w:val="4"/>
        <w:rPr>
          <w:rFonts w:hint="eastAsia" w:ascii="仿宋_GB2312" w:hAnsi="宋体" w:eastAsia="仿宋_GB2312" w:cs="仿宋_GB2312"/>
          <w:color w:val="auto"/>
          <w:kern w:val="0"/>
          <w:sz w:val="32"/>
          <w:szCs w:val="32"/>
          <w:highlight w:val="none"/>
        </w:rPr>
      </w:pPr>
    </w:p>
    <w:p w14:paraId="2AFC91AD">
      <w:pPr>
        <w:rPr>
          <w:rFonts w:hint="eastAsia" w:ascii="仿宋_GB2312" w:hAnsi="宋体" w:eastAsia="仿宋_GB2312" w:cs="仿宋_GB2312"/>
          <w:color w:val="auto"/>
          <w:kern w:val="0"/>
          <w:sz w:val="32"/>
          <w:szCs w:val="32"/>
          <w:highlight w:val="none"/>
        </w:rPr>
      </w:pPr>
    </w:p>
    <w:p w14:paraId="0CDDBE1D">
      <w:pPr>
        <w:pStyle w:val="4"/>
        <w:rPr>
          <w:rFonts w:hint="eastAsia" w:ascii="仿宋_GB2312" w:hAnsi="宋体" w:eastAsia="仿宋_GB2312" w:cs="仿宋_GB2312"/>
          <w:color w:val="auto"/>
          <w:kern w:val="0"/>
          <w:sz w:val="32"/>
          <w:szCs w:val="32"/>
          <w:highlight w:val="none"/>
        </w:rPr>
      </w:pPr>
    </w:p>
    <w:p w14:paraId="6881A513">
      <w:pPr>
        <w:rPr>
          <w:rFonts w:hint="eastAsia" w:ascii="仿宋_GB2312" w:hAnsi="宋体" w:eastAsia="仿宋_GB2312" w:cs="仿宋_GB2312"/>
          <w:color w:val="auto"/>
          <w:kern w:val="0"/>
          <w:sz w:val="32"/>
          <w:szCs w:val="32"/>
          <w:highlight w:val="none"/>
        </w:rPr>
      </w:pPr>
    </w:p>
    <w:p w14:paraId="0216773E">
      <w:pPr>
        <w:keepNext w:val="0"/>
        <w:keepLines w:val="0"/>
        <w:pageBreakBefore w:val="0"/>
        <w:widowControl w:val="0"/>
        <w:kinsoku/>
        <w:wordWrap/>
        <w:overflowPunct/>
        <w:topLinePunct w:val="0"/>
        <w:autoSpaceDE/>
        <w:autoSpaceDN/>
        <w:bidi w:val="0"/>
        <w:adjustRightInd/>
        <w:spacing w:line="560" w:lineRule="exact"/>
        <w:textAlignment w:val="auto"/>
        <w:rPr>
          <w:rFonts w:hint="eastAsia" w:eastAsia="黑体"/>
          <w:color w:val="auto"/>
          <w:spacing w:val="-16"/>
          <w:sz w:val="36"/>
          <w:highlight w:val="none"/>
          <w:lang w:val="en-US" w:eastAsia="zh-CN"/>
        </w:rPr>
      </w:pPr>
      <w:r>
        <w:rPr>
          <w:rFonts w:hint="eastAsia" w:ascii="黑体" w:eastAsia="黑体" w:cs="仿宋_GB2312"/>
          <w:color w:val="000000"/>
          <w:kern w:val="0"/>
          <w:sz w:val="32"/>
          <w:szCs w:val="32"/>
          <w:highlight w:val="none"/>
        </w:rPr>
        <w:t>附件</w:t>
      </w:r>
      <w:r>
        <w:rPr>
          <w:rFonts w:hint="eastAsia" w:ascii="黑体" w:eastAsia="黑体" w:cs="仿宋_GB2312"/>
          <w:color w:val="000000"/>
          <w:kern w:val="0"/>
          <w:sz w:val="32"/>
          <w:szCs w:val="32"/>
          <w:highlight w:val="none"/>
          <w:lang w:val="en-US" w:eastAsia="zh-CN"/>
        </w:rPr>
        <w:t>4</w:t>
      </w:r>
    </w:p>
    <w:p w14:paraId="264F606B">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宋体" w:eastAsia="黑体"/>
          <w:sz w:val="32"/>
          <w:szCs w:val="32"/>
          <w:highlight w:val="none"/>
        </w:rPr>
      </w:pPr>
      <w:r>
        <w:rPr>
          <w:rFonts w:hint="eastAsia" w:eastAsia="黑体"/>
          <w:color w:val="auto"/>
          <w:spacing w:val="-16"/>
          <w:sz w:val="36"/>
          <w:highlight w:val="none"/>
        </w:rPr>
        <w:t>补</w:t>
      </w:r>
      <w:r>
        <w:rPr>
          <w:rFonts w:eastAsia="黑体"/>
          <w:color w:val="auto"/>
          <w:spacing w:val="-16"/>
          <w:sz w:val="36"/>
          <w:highlight w:val="none"/>
        </w:rPr>
        <w:t xml:space="preserve"> </w:t>
      </w:r>
      <w:r>
        <w:rPr>
          <w:rFonts w:hint="eastAsia" w:eastAsia="黑体"/>
          <w:color w:val="auto"/>
          <w:spacing w:val="-16"/>
          <w:sz w:val="36"/>
          <w:highlight w:val="none"/>
        </w:rPr>
        <w:t>充</w:t>
      </w:r>
      <w:r>
        <w:rPr>
          <w:rFonts w:eastAsia="黑体"/>
          <w:color w:val="auto"/>
          <w:spacing w:val="-16"/>
          <w:sz w:val="36"/>
          <w:highlight w:val="none"/>
        </w:rPr>
        <w:t xml:space="preserve"> </w:t>
      </w:r>
      <w:r>
        <w:rPr>
          <w:rFonts w:hint="eastAsia" w:eastAsia="黑体"/>
          <w:color w:val="auto"/>
          <w:spacing w:val="-16"/>
          <w:sz w:val="36"/>
          <w:highlight w:val="none"/>
        </w:rPr>
        <w:t>协</w:t>
      </w:r>
      <w:r>
        <w:rPr>
          <w:rFonts w:eastAsia="黑体"/>
          <w:color w:val="auto"/>
          <w:spacing w:val="-16"/>
          <w:sz w:val="36"/>
          <w:highlight w:val="none"/>
        </w:rPr>
        <w:t xml:space="preserve"> </w:t>
      </w:r>
      <w:r>
        <w:rPr>
          <w:rFonts w:hint="eastAsia" w:eastAsia="黑体"/>
          <w:color w:val="auto"/>
          <w:spacing w:val="-16"/>
          <w:sz w:val="36"/>
          <w:highlight w:val="none"/>
        </w:rPr>
        <w:t>议</w:t>
      </w:r>
    </w:p>
    <w:p w14:paraId="27CC4D5A">
      <w:pPr>
        <w:keepNext w:val="0"/>
        <w:keepLines w:val="0"/>
        <w:pageBreakBefore w:val="0"/>
        <w:widowControl w:val="0"/>
        <w:kinsoku/>
        <w:wordWrap/>
        <w:overflowPunct/>
        <w:topLinePunct w:val="0"/>
        <w:autoSpaceDE/>
        <w:autoSpaceDN/>
        <w:bidi w:val="0"/>
        <w:adjustRightInd/>
        <w:spacing w:line="560" w:lineRule="exact"/>
        <w:ind w:right="4" w:rightChars="2"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依据京土储</w:t>
      </w:r>
      <w:r>
        <w:rPr>
          <w:rFonts w:hint="eastAsia" w:ascii="仿宋_GB2312" w:hAnsi="宋体" w:eastAsia="仿宋_GB2312"/>
          <w:sz w:val="32"/>
          <w:szCs w:val="32"/>
          <w:highlight w:val="none"/>
          <w:lang w:eastAsia="zh-CN"/>
        </w:rPr>
        <w:t>挂</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eastAsia="zh-CN"/>
        </w:rPr>
        <w:t>顺</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2026</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u w:val="single"/>
          <w:lang w:val="en-US" w:eastAsia="zh-CN"/>
        </w:rPr>
        <w:t xml:space="preserve">   </w:t>
      </w:r>
      <w:r>
        <w:rPr>
          <w:rFonts w:hint="eastAsia" w:ascii="仿宋_GB2312" w:hAnsi="宋体" w:eastAsia="仿宋_GB2312"/>
          <w:sz w:val="32"/>
          <w:szCs w:val="32"/>
          <w:highlight w:val="none"/>
        </w:rPr>
        <w:t>号挂牌文件约定，出让人与受让人经协商,共同对出让合同有关内容作如下补充：</w:t>
      </w:r>
    </w:p>
    <w:p w14:paraId="541C4BE5">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第一条  出让方式：</w:t>
      </w:r>
      <w:r>
        <w:rPr>
          <w:rFonts w:hint="eastAsia" w:ascii="仿宋_GB2312" w:hAnsi="宋体" w:eastAsia="仿宋_GB2312"/>
          <w:sz w:val="32"/>
          <w:szCs w:val="32"/>
          <w:highlight w:val="none"/>
          <w:u w:val="single"/>
          <w:lang w:val="en-US" w:eastAsia="zh-CN"/>
        </w:rPr>
        <w:t xml:space="preserve">           挂牌                             </w:t>
      </w:r>
      <w:r>
        <w:rPr>
          <w:rFonts w:hint="eastAsia" w:ascii="仿宋_GB2312" w:hAnsi="宋体" w:eastAsia="仿宋_GB2312"/>
          <w:sz w:val="32"/>
          <w:szCs w:val="32"/>
          <w:highlight w:val="none"/>
          <w:u w:val="single"/>
        </w:rPr>
        <w:t xml:space="preserve"> </w:t>
      </w:r>
    </w:p>
    <w:p w14:paraId="7F74B85B">
      <w:pPr>
        <w:keepNext w:val="0"/>
        <w:keepLines w:val="0"/>
        <w:pageBreakBefore w:val="0"/>
        <w:widowControl w:val="0"/>
        <w:kinsoku/>
        <w:wordWrap/>
        <w:overflowPunct/>
        <w:topLinePunct w:val="0"/>
        <w:autoSpaceDE/>
        <w:autoSpaceDN/>
        <w:bidi w:val="0"/>
        <w:adjustRightInd/>
        <w:spacing w:line="560" w:lineRule="exact"/>
        <w:ind w:right="4" w:rightChars="2"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第二条　宗地类型：</w:t>
      </w:r>
      <w:r>
        <w:rPr>
          <w:rFonts w:hint="eastAsia" w:ascii="仿宋_GB2312" w:hAnsi="宋体" w:eastAsia="仿宋_GB2312"/>
          <w:sz w:val="32"/>
          <w:szCs w:val="32"/>
          <w:highlight w:val="none"/>
          <w:u w:val="single"/>
          <w:lang w:val="en-US" w:eastAsia="zh-CN"/>
        </w:rPr>
        <w:t xml:space="preserve">           独立                             </w:t>
      </w:r>
      <w:r>
        <w:rPr>
          <w:rFonts w:hint="eastAsia" w:ascii="仿宋_GB2312" w:hAnsi="宋体" w:eastAsia="仿宋_GB2312"/>
          <w:sz w:val="32"/>
          <w:szCs w:val="32"/>
          <w:highlight w:val="none"/>
          <w:u w:val="single"/>
        </w:rPr>
        <w:t xml:space="preserve"> </w:t>
      </w:r>
    </w:p>
    <w:p w14:paraId="2D5C2511">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第三条　本项目总建筑规模</w:t>
      </w:r>
      <w:r>
        <w:rPr>
          <w:rFonts w:hint="eastAsia" w:ascii="仿宋_GB2312" w:hAnsi="宋体" w:eastAsia="仿宋_GB2312" w:cs="MS Gothic"/>
          <w:sz w:val="32"/>
          <w:szCs w:val="32"/>
          <w:highlight w:val="none"/>
          <w:u w:val="single"/>
          <w:lang w:val="en-US" w:eastAsia="zh-CN"/>
        </w:rPr>
        <w:t>22566.44</w:t>
      </w:r>
      <w:r>
        <w:rPr>
          <w:rFonts w:hint="eastAsia" w:ascii="仿宋_GB2312" w:hAnsi="宋体" w:eastAsia="仿宋_GB2312"/>
          <w:sz w:val="32"/>
          <w:szCs w:val="32"/>
          <w:highlight w:val="none"/>
        </w:rPr>
        <w:t>平方米。其中出</w:t>
      </w:r>
      <w:r>
        <w:rPr>
          <w:rFonts w:hint="eastAsia" w:ascii="仿宋_GB2312" w:hAnsi="宋体" w:eastAsia="仿宋_GB2312"/>
          <w:spacing w:val="-11"/>
          <w:sz w:val="32"/>
          <w:szCs w:val="32"/>
          <w:highlight w:val="none"/>
        </w:rPr>
        <w:t>让宗地总建筑规模</w:t>
      </w:r>
      <w:r>
        <w:rPr>
          <w:rFonts w:hint="eastAsia" w:ascii="仿宋_GB2312" w:hAnsi="宋体" w:eastAsia="仿宋_GB2312" w:cs="MS Gothic"/>
          <w:sz w:val="32"/>
          <w:szCs w:val="32"/>
          <w:highlight w:val="none"/>
          <w:u w:val="single"/>
          <w:lang w:val="en-US" w:eastAsia="zh-CN"/>
        </w:rPr>
        <w:t>22566.44</w:t>
      </w:r>
      <w:r>
        <w:rPr>
          <w:rFonts w:hint="eastAsia" w:ascii="仿宋_GB2312" w:hAnsi="宋体" w:eastAsia="仿宋_GB2312"/>
          <w:spacing w:val="-11"/>
          <w:sz w:val="32"/>
          <w:szCs w:val="32"/>
          <w:highlight w:val="none"/>
        </w:rPr>
        <w:t>方米，地上建筑规模</w:t>
      </w:r>
      <w:r>
        <w:rPr>
          <w:rFonts w:hint="eastAsia" w:ascii="仿宋_GB2312" w:hAnsi="宋体" w:eastAsia="仿宋_GB2312" w:cs="MS Gothic"/>
          <w:sz w:val="32"/>
          <w:szCs w:val="32"/>
          <w:highlight w:val="none"/>
          <w:u w:val="single"/>
          <w:lang w:val="en-US" w:eastAsia="zh-CN"/>
        </w:rPr>
        <w:t>22566.44</w:t>
      </w:r>
      <w:r>
        <w:rPr>
          <w:rFonts w:hint="eastAsia" w:ascii="仿宋_GB2312" w:hAnsi="宋体" w:eastAsia="仿宋_GB2312"/>
          <w:sz w:val="32"/>
          <w:szCs w:val="32"/>
          <w:highlight w:val="none"/>
        </w:rPr>
        <w:t>平方米（</w:t>
      </w:r>
      <w:r>
        <w:rPr>
          <w:rFonts w:hint="eastAsia" w:ascii="仿宋_GB2312" w:hAnsi="宋体" w:eastAsia="仿宋_GB2312"/>
          <w:sz w:val="32"/>
          <w:szCs w:val="32"/>
          <w:highlight w:val="none"/>
          <w:lang w:eastAsia="zh-CN"/>
        </w:rPr>
        <w:t>住宅</w:t>
      </w:r>
      <w:r>
        <w:rPr>
          <w:rFonts w:hint="eastAsia" w:ascii="仿宋_GB2312" w:hAnsi="宋体" w:eastAsia="仿宋_GB2312" w:cs="MS Gothic"/>
          <w:sz w:val="32"/>
          <w:szCs w:val="32"/>
          <w:highlight w:val="none"/>
          <w:u w:val="single"/>
          <w:lang w:val="en-US" w:eastAsia="zh-CN"/>
        </w:rPr>
        <w:t>22566.44</w:t>
      </w:r>
      <w:r>
        <w:rPr>
          <w:rFonts w:hint="eastAsia" w:ascii="仿宋_GB2312" w:hAnsi="宋体" w:eastAsia="仿宋_GB2312"/>
          <w:sz w:val="32"/>
          <w:szCs w:val="32"/>
          <w:highlight w:val="none"/>
        </w:rPr>
        <w:t xml:space="preserve">平方米），地下建筑规模为 </w:t>
      </w:r>
      <w:r>
        <w:rPr>
          <w:rFonts w:hint="eastAsia" w:ascii="仿宋_GB2312" w:hAnsi="宋体" w:eastAsia="仿宋_GB2312"/>
          <w:sz w:val="32"/>
          <w:szCs w:val="32"/>
          <w:highlight w:val="none"/>
          <w:u w:val="single"/>
        </w:rPr>
        <w:t xml:space="preserve">/ </w:t>
      </w:r>
      <w:r>
        <w:rPr>
          <w:rFonts w:hint="eastAsia" w:ascii="仿宋_GB2312" w:hAnsi="宋体" w:eastAsia="仿宋_GB2312"/>
          <w:sz w:val="32"/>
          <w:szCs w:val="32"/>
          <w:highlight w:val="none"/>
        </w:rPr>
        <w:t>平方米。</w:t>
      </w:r>
    </w:p>
    <w:p w14:paraId="70D78E0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上述各项面积以项目竣工验收时实测建筑面积为准。</w:t>
      </w:r>
    </w:p>
    <w:p w14:paraId="41430FB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kern w:val="0"/>
          <w:sz w:val="32"/>
          <w:szCs w:val="32"/>
          <w:highlight w:val="none"/>
          <w:u w:val="single"/>
        </w:rPr>
      </w:pPr>
      <w:r>
        <w:rPr>
          <w:rFonts w:hint="eastAsia" w:ascii="仿宋_GB2312" w:hAnsi="宋体" w:eastAsia="仿宋_GB2312"/>
          <w:sz w:val="32"/>
          <w:szCs w:val="32"/>
          <w:highlight w:val="none"/>
        </w:rPr>
        <w:t xml:space="preserve">第四条 </w:t>
      </w:r>
      <w:r>
        <w:rPr>
          <w:rFonts w:hint="eastAsia" w:ascii="仿宋_GB2312" w:eastAsia="仿宋_GB2312"/>
          <w:sz w:val="32"/>
          <w:szCs w:val="32"/>
          <w:highlight w:val="none"/>
        </w:rPr>
        <w:t>出让宗地范围内规划建筑使用性质为</w:t>
      </w:r>
      <w:r>
        <w:rPr>
          <w:rFonts w:hint="eastAsia" w:ascii="仿宋_GB2312" w:hAnsi="宋体" w:eastAsia="仿宋_GB2312" w:cs="MS Gothic"/>
          <w:sz w:val="32"/>
          <w:szCs w:val="32"/>
          <w:highlight w:val="none"/>
          <w:u w:val="single"/>
          <w:lang w:val="en-US" w:eastAsia="zh-CN"/>
        </w:rPr>
        <w:t>住宅及其附属配套设施</w:t>
      </w:r>
      <w:r>
        <w:rPr>
          <w:rFonts w:hint="eastAsia" w:ascii="仿宋_GB2312" w:eastAsia="仿宋_GB2312"/>
          <w:color w:val="auto"/>
          <w:sz w:val="32"/>
          <w:szCs w:val="32"/>
          <w:highlight w:val="none"/>
        </w:rPr>
        <w:t>。</w:t>
      </w:r>
    </w:p>
    <w:p w14:paraId="351C8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 xml:space="preserve">第五条 </w:t>
      </w:r>
      <w:r>
        <w:rPr>
          <w:rFonts w:hint="eastAsia" w:ascii="仿宋_GB2312" w:hAnsi="宋体" w:eastAsia="仿宋_GB2312"/>
          <w:color w:val="000000"/>
          <w:sz w:val="32"/>
          <w:szCs w:val="32"/>
          <w:highlight w:val="none"/>
        </w:rPr>
        <w:t>出让人和受让人同意，在符合</w:t>
      </w:r>
      <w:r>
        <w:rPr>
          <w:rFonts w:hint="eastAsia" w:ascii="Times New Roman" w:hAnsi="Times New Roman" w:eastAsia="仿宋_GB2312" w:cs="Times New Roman"/>
          <w:color w:val="auto"/>
          <w:sz w:val="32"/>
          <w:szCs w:val="32"/>
          <w:highlight w:val="none"/>
          <w:u w:val="single"/>
          <w:lang w:val="en-US" w:eastAsia="zh-CN"/>
        </w:rPr>
        <w:t>《供地项目“多规合一”协同平台审核意见的函》（京规自（顺）供审函[2026]0002号）和《建设工程规划用地测量成果报告书》（2026规自（顺）测字0010号）</w:t>
      </w:r>
      <w:r>
        <w:rPr>
          <w:rFonts w:hint="eastAsia" w:ascii="仿宋_GB2312" w:hAnsi="宋体" w:eastAsia="仿宋_GB2312"/>
          <w:color w:val="000000"/>
          <w:sz w:val="32"/>
          <w:szCs w:val="32"/>
          <w:highlight w:val="none"/>
        </w:rPr>
        <w:t>的条件下，按以下条款执行：</w:t>
      </w:r>
    </w:p>
    <w:p w14:paraId="7129D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（一）受让人可在出让宗地内建设配套公建，但应在取得有效规划文件后，与出让人签订出让合同补充协议，并按照本协议第</w:t>
      </w:r>
      <w:r>
        <w:rPr>
          <w:rFonts w:hint="eastAsia" w:ascii="仿宋_GB2312" w:hAnsi="宋体" w:eastAsia="仿宋_GB2312"/>
          <w:color w:val="000000"/>
          <w:sz w:val="32"/>
          <w:szCs w:val="32"/>
          <w:highlight w:val="none"/>
          <w:lang w:eastAsia="zh-CN"/>
        </w:rPr>
        <w:t>十</w:t>
      </w:r>
      <w:r>
        <w:rPr>
          <w:rFonts w:hint="eastAsia" w:ascii="仿宋_GB2312" w:hAnsi="宋体" w:eastAsia="仿宋_GB2312"/>
          <w:color w:val="000000"/>
          <w:sz w:val="32"/>
          <w:szCs w:val="32"/>
          <w:highlight w:val="none"/>
        </w:rPr>
        <w:t>条的标准调整出让价款。</w:t>
      </w:r>
    </w:p>
    <w:p w14:paraId="3E106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（二）受让人可在出让宗地内对地下空间进行设计、建设，但应在取得有效规划文件后，与出让人签订出让合同补充协议，并按照本协议第</w:t>
      </w:r>
      <w:r>
        <w:rPr>
          <w:rFonts w:hint="eastAsia" w:ascii="仿宋_GB2312" w:hAnsi="宋体" w:eastAsia="仿宋_GB2312"/>
          <w:color w:val="000000"/>
          <w:sz w:val="32"/>
          <w:szCs w:val="32"/>
          <w:highlight w:val="none"/>
          <w:lang w:val="en-US" w:eastAsia="zh-CN"/>
        </w:rPr>
        <w:t>十</w:t>
      </w:r>
      <w:r>
        <w:rPr>
          <w:rFonts w:hint="eastAsia" w:ascii="仿宋_GB2312" w:hAnsi="宋体" w:eastAsia="仿宋_GB2312"/>
          <w:color w:val="000000"/>
          <w:sz w:val="32"/>
          <w:szCs w:val="32"/>
          <w:highlight w:val="none"/>
        </w:rPr>
        <w:t>条的标准调整出让价款</w:t>
      </w:r>
      <w:r>
        <w:rPr>
          <w:rFonts w:hint="eastAsia" w:ascii="仿宋_GB2312" w:hAnsi="宋体" w:eastAsia="仿宋_GB2312"/>
          <w:strike w:val="0"/>
          <w:color w:val="000000"/>
          <w:sz w:val="32"/>
          <w:szCs w:val="32"/>
          <w:highlight w:val="none"/>
          <w:lang w:eastAsia="zh-CN"/>
        </w:rPr>
        <w:t>。</w:t>
      </w:r>
    </w:p>
    <w:p w14:paraId="31F986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color w:val="auto"/>
          <w:sz w:val="32"/>
          <w:szCs w:val="32"/>
          <w:highlight w:val="none"/>
          <w:lang w:eastAsia="zh-CN"/>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条</w:t>
      </w:r>
      <w:r>
        <w:rPr>
          <w:rFonts w:hint="eastAsia" w:ascii="仿宋_GB2312" w:hAnsi="宋体" w:eastAsia="仿宋_GB2312"/>
          <w:color w:val="FF0000"/>
          <w:sz w:val="32"/>
          <w:szCs w:val="32"/>
          <w:highlight w:val="none"/>
        </w:rPr>
        <w:t>　</w:t>
      </w:r>
      <w:r>
        <w:rPr>
          <w:rFonts w:hint="eastAsia" w:ascii="仿宋_GB2312" w:hAnsi="宋体" w:eastAsia="仿宋_GB2312"/>
          <w:color w:val="auto"/>
          <w:sz w:val="32"/>
          <w:szCs w:val="32"/>
          <w:highlight w:val="none"/>
        </w:rPr>
        <w:t>受让人须按以下</w:t>
      </w:r>
      <w:r>
        <w:rPr>
          <w:rFonts w:hint="eastAsia" w:ascii="仿宋_GB2312" w:hAnsi="宋体" w:eastAsia="仿宋_GB2312"/>
          <w:color w:val="auto"/>
          <w:sz w:val="32"/>
          <w:szCs w:val="32"/>
          <w:highlight w:val="none"/>
          <w:lang w:eastAsia="zh-CN"/>
        </w:rPr>
        <w:t>第</w:t>
      </w:r>
      <w:r>
        <w:rPr>
          <w:rFonts w:hint="eastAsia" w:ascii="仿宋_GB2312" w:hAnsi="宋体" w:eastAsia="仿宋_GB2312"/>
          <w:strike w:val="0"/>
          <w:color w:val="auto"/>
          <w:sz w:val="32"/>
          <w:szCs w:val="32"/>
          <w:highlight w:val="none"/>
          <w:u w:val="single"/>
          <w:lang w:val="en-US" w:eastAsia="zh-CN"/>
        </w:rPr>
        <w:t xml:space="preserve">    </w:t>
      </w:r>
      <w:r>
        <w:rPr>
          <w:rFonts w:hint="eastAsia" w:ascii="仿宋_GB2312" w:hAnsi="宋体" w:eastAsia="仿宋_GB2312"/>
          <w:color w:val="auto"/>
          <w:sz w:val="32"/>
          <w:szCs w:val="32"/>
          <w:highlight w:val="none"/>
          <w:lang w:val="en-US" w:eastAsia="zh-CN"/>
        </w:rPr>
        <w:t>项</w:t>
      </w:r>
      <w:r>
        <w:rPr>
          <w:rFonts w:hint="eastAsia" w:ascii="仿宋_GB2312" w:hAnsi="宋体" w:eastAsia="仿宋_GB2312"/>
          <w:color w:val="auto"/>
          <w:sz w:val="32"/>
          <w:szCs w:val="32"/>
          <w:highlight w:val="none"/>
        </w:rPr>
        <w:t>期限和要求，交纳该宗地</w:t>
      </w:r>
      <w:r>
        <w:rPr>
          <w:rFonts w:hint="eastAsia" w:ascii="仿宋_GB2312" w:hAnsi="宋体" w:eastAsia="仿宋_GB2312"/>
          <w:color w:val="auto"/>
          <w:sz w:val="32"/>
          <w:szCs w:val="32"/>
          <w:highlight w:val="none"/>
          <w:lang w:eastAsia="zh-CN"/>
        </w:rPr>
        <w:t>出让</w:t>
      </w:r>
      <w:r>
        <w:rPr>
          <w:rFonts w:hint="eastAsia" w:ascii="仿宋_GB2312" w:hAnsi="宋体" w:eastAsia="仿宋_GB2312"/>
          <w:color w:val="auto"/>
          <w:sz w:val="32"/>
          <w:szCs w:val="32"/>
          <w:highlight w:val="none"/>
        </w:rPr>
        <w:t>价</w:t>
      </w:r>
      <w:r>
        <w:rPr>
          <w:rFonts w:hint="eastAsia" w:ascii="仿宋_GB2312" w:hAnsi="宋体" w:eastAsia="仿宋_GB2312"/>
          <w:color w:val="auto"/>
          <w:sz w:val="32"/>
          <w:szCs w:val="32"/>
          <w:highlight w:val="none"/>
          <w:lang w:eastAsia="zh-CN"/>
        </w:rPr>
        <w:t>款：</w:t>
      </w:r>
    </w:p>
    <w:p w14:paraId="5DB42D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宋体" w:eastAsia="仿宋_GB2312"/>
          <w:strike w:val="0"/>
          <w:color w:val="auto"/>
          <w:sz w:val="32"/>
          <w:szCs w:val="32"/>
          <w:highlight w:val="none"/>
          <w:lang w:val="en-US" w:eastAsia="zh-CN"/>
        </w:rPr>
      </w:pPr>
      <w:r>
        <w:rPr>
          <w:rFonts w:hint="default" w:ascii="仿宋_GB2312" w:hAnsi="宋体" w:eastAsia="仿宋_GB2312"/>
          <w:strike w:val="0"/>
          <w:color w:val="auto"/>
          <w:sz w:val="32"/>
          <w:szCs w:val="32"/>
          <w:highlight w:val="none"/>
          <w:lang w:eastAsia="zh-CN"/>
        </w:rPr>
        <w:t>（一）</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未参与本宗地土地出让预申请（或本宗地不涉及预申请），</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19AF83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val="en-US" w:eastAsia="zh-CN"/>
        </w:rPr>
        <w:t>自《国有建设用地使用权出让合同》签订后第30个自然日内（遇法定节假日顺延至其后第一个工作日，最终日期以合同为准），</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须按照税务部门有关要求付清全部土地成交价款（保证金转土地成交价款部分除外）。</w:t>
      </w:r>
    </w:p>
    <w:p w14:paraId="6B4D0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宋体" w:eastAsia="仿宋_GB2312"/>
          <w:strike w:val="0"/>
          <w:color w:val="auto"/>
          <w:sz w:val="32"/>
          <w:szCs w:val="32"/>
          <w:highlight w:val="none"/>
        </w:rPr>
      </w:pPr>
      <w:r>
        <w:rPr>
          <w:rFonts w:hint="default" w:ascii="仿宋_GB2312" w:hAnsi="宋体" w:eastAsia="仿宋_GB2312"/>
          <w:strike w:val="0"/>
          <w:color w:val="auto"/>
          <w:sz w:val="32"/>
          <w:szCs w:val="32"/>
          <w:highlight w:val="none"/>
          <w:lang w:eastAsia="zh-CN"/>
        </w:rPr>
        <w:t>（二）</w:t>
      </w:r>
      <w:r>
        <w:rPr>
          <w:rFonts w:hint="default" w:ascii="仿宋_GB2312" w:hAnsi="宋体" w:eastAsia="仿宋_GB2312"/>
          <w:strike w:val="0"/>
          <w:color w:val="auto"/>
          <w:sz w:val="32"/>
          <w:szCs w:val="32"/>
          <w:highlight w:val="none"/>
        </w:rPr>
        <w:t>若</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rPr>
        <w:t>已参与本宗地土地出让预申请，且已缴纳预申请保证金，</w:t>
      </w:r>
      <w:r>
        <w:rPr>
          <w:rFonts w:hint="default" w:ascii="仿宋_GB2312" w:hAnsi="宋体" w:eastAsia="仿宋_GB2312"/>
          <w:strike w:val="0"/>
          <w:color w:val="auto"/>
          <w:sz w:val="32"/>
          <w:szCs w:val="32"/>
          <w:highlight w:val="none"/>
          <w:lang w:eastAsia="zh-CN"/>
        </w:rPr>
        <w:t>土地成交价款</w:t>
      </w:r>
      <w:r>
        <w:rPr>
          <w:rFonts w:hint="default" w:ascii="仿宋_GB2312" w:hAnsi="宋体" w:eastAsia="仿宋_GB2312"/>
          <w:strike w:val="0"/>
          <w:color w:val="auto"/>
          <w:sz w:val="32"/>
          <w:szCs w:val="32"/>
          <w:highlight w:val="none"/>
        </w:rPr>
        <w:t>按以下时间交付：</w:t>
      </w:r>
    </w:p>
    <w:p w14:paraId="2A63A8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28"/>
          <w:highlight w:val="none"/>
        </w:rPr>
      </w:pPr>
      <w:r>
        <w:rPr>
          <w:rFonts w:hint="default" w:ascii="仿宋_GB2312" w:hAnsi="宋体" w:eastAsia="仿宋_GB2312"/>
          <w:strike w:val="0"/>
          <w:color w:val="auto"/>
          <w:sz w:val="32"/>
          <w:szCs w:val="32"/>
          <w:highlight w:val="none"/>
          <w:lang w:eastAsia="zh-CN"/>
        </w:rPr>
        <w:t>自</w:t>
      </w:r>
      <w:r>
        <w:rPr>
          <w:rFonts w:hint="default" w:ascii="仿宋_GB2312" w:hAnsi="宋体" w:eastAsia="仿宋_GB2312"/>
          <w:strike w:val="0"/>
          <w:color w:val="auto"/>
          <w:sz w:val="32"/>
          <w:szCs w:val="32"/>
          <w:highlight w:val="none"/>
          <w:lang w:val="en-US" w:eastAsia="zh-CN"/>
        </w:rPr>
        <w:t>《国有建设用地使用权出让合同》</w:t>
      </w:r>
      <w:r>
        <w:rPr>
          <w:rFonts w:hint="default" w:ascii="仿宋_GB2312" w:hAnsi="宋体" w:eastAsia="仿宋_GB2312"/>
          <w:strike w:val="0"/>
          <w:color w:val="auto"/>
          <w:sz w:val="32"/>
          <w:szCs w:val="32"/>
          <w:highlight w:val="none"/>
          <w:lang w:eastAsia="zh-CN"/>
        </w:rPr>
        <w:t>签订后第</w:t>
      </w:r>
      <w:r>
        <w:rPr>
          <w:rFonts w:hint="default" w:ascii="仿宋_GB2312" w:hAnsi="宋体" w:eastAsia="仿宋_GB2312"/>
          <w:strike w:val="0"/>
          <w:color w:val="auto"/>
          <w:sz w:val="32"/>
          <w:szCs w:val="32"/>
          <w:highlight w:val="none"/>
        </w:rPr>
        <w:t>30个自然日内</w:t>
      </w:r>
      <w:r>
        <w:rPr>
          <w:rFonts w:hint="default" w:ascii="仿宋_GB2312" w:hAnsi="宋体" w:eastAsia="仿宋_GB2312"/>
          <w:strike w:val="0"/>
          <w:color w:val="auto"/>
          <w:sz w:val="32"/>
          <w:szCs w:val="32"/>
          <w:highlight w:val="none"/>
          <w:lang w:val="en-US" w:eastAsia="zh-CN"/>
        </w:rPr>
        <w:t>（遇法定节假日顺延至其后第一个工作日，最终日期以合同为准），按照税务部门有关要求</w:t>
      </w:r>
      <w:r>
        <w:rPr>
          <w:rFonts w:hint="default" w:ascii="仿宋_GB2312" w:hAnsi="宋体" w:eastAsia="仿宋_GB2312"/>
          <w:strike w:val="0"/>
          <w:color w:val="auto"/>
          <w:sz w:val="32"/>
          <w:szCs w:val="32"/>
          <w:highlight w:val="none"/>
        </w:rPr>
        <w:t>缴纳</w:t>
      </w:r>
      <w:r>
        <w:rPr>
          <w:rFonts w:hint="default" w:ascii="仿宋_GB2312" w:hAnsi="宋体" w:eastAsia="仿宋_GB2312"/>
          <w:strike w:val="0"/>
          <w:color w:val="auto"/>
          <w:sz w:val="32"/>
          <w:szCs w:val="32"/>
          <w:highlight w:val="none"/>
          <w:lang w:eastAsia="zh-CN"/>
        </w:rPr>
        <w:t>土地成交价款的</w:t>
      </w:r>
      <w:r>
        <w:rPr>
          <w:rFonts w:hint="default" w:ascii="仿宋_GB2312" w:hAnsi="宋体" w:eastAsia="仿宋_GB2312"/>
          <w:strike w:val="0"/>
          <w:color w:val="auto"/>
          <w:sz w:val="32"/>
          <w:szCs w:val="32"/>
          <w:highlight w:val="none"/>
        </w:rPr>
        <w:t>50%</w:t>
      </w:r>
      <w:r>
        <w:rPr>
          <w:rFonts w:hint="default" w:ascii="仿宋_GB2312" w:hAnsi="宋体" w:eastAsia="仿宋_GB2312"/>
          <w:strike w:val="0"/>
          <w:color w:val="auto"/>
          <w:sz w:val="32"/>
          <w:szCs w:val="32"/>
          <w:highlight w:val="none"/>
          <w:lang w:eastAsia="zh-CN"/>
        </w:rPr>
        <w:t>；</w:t>
      </w:r>
      <w:r>
        <w:rPr>
          <w:rFonts w:hint="eastAsia" w:ascii="仿宋_GB2312" w:hAnsi="宋体" w:eastAsia="仿宋_GB2312"/>
          <w:color w:val="auto"/>
          <w:sz w:val="32"/>
          <w:szCs w:val="32"/>
          <w:highlight w:val="none"/>
        </w:rPr>
        <w:t>受让人</w:t>
      </w:r>
      <w:r>
        <w:rPr>
          <w:rFonts w:hint="default" w:ascii="仿宋_GB2312" w:hAnsi="宋体" w:eastAsia="仿宋_GB2312"/>
          <w:strike w:val="0"/>
          <w:color w:val="auto"/>
          <w:sz w:val="32"/>
          <w:szCs w:val="32"/>
          <w:highlight w:val="none"/>
          <w:lang w:val="en-US" w:eastAsia="zh-CN"/>
        </w:rPr>
        <w:t>须于《国有建设用地使用权出让合同》签订之日起4个月内（遇法定节假日顺延至其后第一个工作日，最终日期以合同为准）全额缴清本宗地剩余土地成交价款</w:t>
      </w:r>
      <w:r>
        <w:rPr>
          <w:rFonts w:hint="default" w:ascii="仿宋_GB2312" w:hAnsi="宋体" w:eastAsia="仿宋_GB2312"/>
          <w:strike w:val="0"/>
          <w:color w:val="auto"/>
          <w:sz w:val="32"/>
          <w:szCs w:val="32"/>
          <w:highlight w:val="none"/>
        </w:rPr>
        <w:t>。</w:t>
      </w:r>
    </w:p>
    <w:p w14:paraId="176559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宋体" w:eastAsia="仿宋_GB2312"/>
          <w:sz w:val="32"/>
          <w:szCs w:val="32"/>
          <w:highlight w:val="none"/>
        </w:rPr>
      </w:pPr>
      <w:r>
        <w:rPr>
          <w:rFonts w:hint="eastAsia" w:ascii="仿宋_GB2312" w:hAnsi="宋体" w:eastAsia="仿宋_GB2312"/>
          <w:sz w:val="32"/>
          <w:szCs w:val="32"/>
          <w:highlight w:val="none"/>
        </w:rPr>
        <w:t>受让人在竞买时交纳的竞买保证金，即人民币</w:t>
      </w:r>
      <w:r>
        <w:rPr>
          <w:rFonts w:hint="eastAsia" w:ascii="仿宋_GB2312" w:hAnsi="宋体" w:eastAsia="仿宋_GB2312"/>
          <w:sz w:val="32"/>
          <w:szCs w:val="32"/>
          <w:highlight w:val="none"/>
          <w:u w:val="single"/>
          <w:lang w:eastAsia="zh-CN"/>
        </w:rPr>
        <w:t>柒仟万</w:t>
      </w:r>
      <w:r>
        <w:rPr>
          <w:rFonts w:hint="eastAsia" w:ascii="仿宋_GB2312" w:hAnsi="宋体" w:eastAsia="仿宋_GB2312"/>
          <w:sz w:val="32"/>
          <w:szCs w:val="32"/>
          <w:highlight w:val="none"/>
        </w:rPr>
        <w:t>元整（</w:t>
      </w:r>
      <w:r>
        <w:rPr>
          <w:rFonts w:hint="eastAsia" w:ascii="仿宋_GB2312" w:hAnsi="宋体" w:eastAsia="仿宋_GB2312"/>
          <w:sz w:val="32"/>
          <w:szCs w:val="32"/>
          <w:highlight w:val="none"/>
          <w:u w:val="single"/>
        </w:rPr>
        <w:t>￥</w:t>
      </w:r>
      <w:r>
        <w:rPr>
          <w:rFonts w:hint="eastAsia" w:ascii="仿宋_GB2312" w:hAnsi="宋体" w:eastAsia="仿宋_GB2312"/>
          <w:sz w:val="32"/>
          <w:szCs w:val="32"/>
          <w:highlight w:val="none"/>
          <w:u w:val="single"/>
          <w:lang w:val="en-US" w:eastAsia="zh-CN"/>
        </w:rPr>
        <w:t xml:space="preserve"> 7000 </w:t>
      </w:r>
      <w:r>
        <w:rPr>
          <w:rFonts w:hint="eastAsia" w:ascii="仿宋_GB2312" w:hAnsi="宋体" w:eastAsia="仿宋_GB2312"/>
          <w:sz w:val="32"/>
          <w:szCs w:val="32"/>
          <w:highlight w:val="none"/>
          <w:u w:val="single"/>
        </w:rPr>
        <w:t>万元</w:t>
      </w:r>
      <w:r>
        <w:rPr>
          <w:rFonts w:hint="eastAsia" w:ascii="仿宋_GB2312" w:hAnsi="宋体" w:eastAsia="仿宋_GB2312"/>
          <w:sz w:val="32"/>
          <w:szCs w:val="32"/>
          <w:highlight w:val="none"/>
        </w:rPr>
        <w:t>）将直接冲抵土地出让价款，不再退还。</w:t>
      </w:r>
    </w:p>
    <w:p w14:paraId="5821B38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rPr>
        <w:t>将《出让合同》第</w:t>
      </w:r>
      <w:r>
        <w:rPr>
          <w:rFonts w:hint="eastAsia" w:ascii="仿宋_GB2312" w:hAnsi="宋体" w:eastAsia="仿宋_GB2312"/>
          <w:strike w:val="0"/>
          <w:color w:val="auto"/>
          <w:sz w:val="32"/>
          <w:szCs w:val="32"/>
          <w:highlight w:val="none"/>
          <w:lang w:eastAsia="zh-CN"/>
        </w:rPr>
        <w:t>十二</w:t>
      </w:r>
      <w:r>
        <w:rPr>
          <w:rFonts w:hint="eastAsia" w:ascii="仿宋_GB2312" w:hAnsi="宋体" w:eastAsia="仿宋_GB2312"/>
          <w:strike w:val="0"/>
          <w:color w:val="auto"/>
          <w:sz w:val="32"/>
          <w:szCs w:val="32"/>
          <w:highlight w:val="none"/>
        </w:rPr>
        <w:t>条变更为：受让人同意出让人将本合同项下出让宗地的实物交付义务</w:t>
      </w:r>
      <w:r>
        <w:rPr>
          <w:rFonts w:hint="eastAsia" w:ascii="仿宋_GB2312" w:hAnsi="宋体" w:eastAsia="仿宋_GB2312"/>
          <w:strike w:val="0"/>
          <w:color w:val="auto"/>
          <w:sz w:val="32"/>
          <w:szCs w:val="32"/>
          <w:highlight w:val="none"/>
          <w:lang w:eastAsia="zh-CN"/>
        </w:rPr>
        <w:t>由</w:t>
      </w:r>
      <w:bookmarkStart w:id="2" w:name="_GoBack"/>
      <w:r>
        <w:rPr>
          <w:rFonts w:hint="eastAsia" w:ascii="仿宋_GB2312" w:hAnsi="宋体" w:eastAsia="仿宋_GB2312" w:cs="MS Gothic"/>
          <w:sz w:val="32"/>
          <w:szCs w:val="32"/>
          <w:highlight w:val="yellow"/>
          <w:u w:val="single"/>
          <w:lang w:val="en-US" w:eastAsia="zh-CN"/>
        </w:rPr>
        <w:t>北京市顺义区规划和自然资源综合事务中心</w:t>
      </w:r>
      <w:r>
        <w:rPr>
          <w:rFonts w:hint="eastAsia" w:ascii="仿宋_GB2312" w:hAnsi="宋体" w:eastAsia="仿宋_GB2312"/>
          <w:strike w:val="0"/>
          <w:color w:val="auto"/>
          <w:sz w:val="32"/>
          <w:szCs w:val="32"/>
          <w:highlight w:val="yellow"/>
        </w:rPr>
        <w:t>履行。由</w:t>
      </w:r>
      <w:r>
        <w:rPr>
          <w:rFonts w:hint="eastAsia" w:ascii="仿宋_GB2312" w:hAnsi="宋体" w:eastAsia="仿宋_GB2312" w:cs="MS Gothic"/>
          <w:sz w:val="32"/>
          <w:szCs w:val="32"/>
          <w:highlight w:val="yellow"/>
          <w:u w:val="single"/>
          <w:lang w:val="en-US" w:eastAsia="zh-CN"/>
        </w:rPr>
        <w:t>北京市顺义区规划和自然资源综合事务中心</w:t>
      </w:r>
      <w:bookmarkEnd w:id="2"/>
      <w:r>
        <w:rPr>
          <w:rFonts w:hint="eastAsia" w:ascii="仿宋_GB2312" w:hAnsi="仿宋_GB2312" w:eastAsia="仿宋_GB2312" w:cs="Times New Roman"/>
          <w:kern w:val="2"/>
          <w:sz w:val="32"/>
          <w:szCs w:val="28"/>
          <w:highlight w:val="none"/>
          <w:u w:val="none"/>
          <w:lang w:val="en-US" w:eastAsia="zh-CN"/>
        </w:rPr>
        <w:t>依照</w:t>
      </w:r>
      <w:r>
        <w:rPr>
          <w:rFonts w:hint="eastAsia" w:ascii="仿宋_GB2312" w:hAnsi="宋体" w:eastAsia="仿宋_GB2312"/>
          <w:strike w:val="0"/>
          <w:color w:val="auto"/>
          <w:sz w:val="32"/>
          <w:szCs w:val="32"/>
          <w:highlight w:val="none"/>
        </w:rPr>
        <w:t>《交地协议》约定</w:t>
      </w:r>
      <w:r>
        <w:rPr>
          <w:rFonts w:hint="eastAsia" w:ascii="仿宋_GB2312" w:hAnsi="宋体" w:eastAsia="仿宋_GB2312"/>
          <w:strike w:val="0"/>
          <w:color w:val="auto"/>
          <w:sz w:val="32"/>
          <w:szCs w:val="32"/>
          <w:highlight w:val="none"/>
          <w:lang w:eastAsia="zh-CN"/>
        </w:rPr>
        <w:t>将出让宗地</w:t>
      </w:r>
      <w:r>
        <w:rPr>
          <w:rFonts w:hint="eastAsia" w:ascii="仿宋_GB2312" w:hAnsi="宋体" w:eastAsia="仿宋_GB2312"/>
          <w:strike w:val="0"/>
          <w:color w:val="auto"/>
          <w:sz w:val="32"/>
          <w:szCs w:val="32"/>
          <w:highlight w:val="none"/>
        </w:rPr>
        <w:t>交付给受让人，并承担违约交地责任。</w:t>
      </w:r>
    </w:p>
    <w:p w14:paraId="64873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eastAsia="仿宋_GB2312"/>
          <w:strike w:val="0"/>
          <w:color w:val="auto"/>
          <w:sz w:val="32"/>
          <w:szCs w:val="32"/>
          <w:highlight w:val="none"/>
          <w:lang w:val="en-US" w:eastAsia="zh-CN"/>
        </w:rPr>
      </w:pPr>
      <w:r>
        <w:rPr>
          <w:rFonts w:hint="eastAsia" w:ascii="仿宋_GB2312" w:hAnsi="宋体" w:eastAsia="仿宋_GB2312"/>
          <w:strike w:val="0"/>
          <w:color w:val="auto"/>
          <w:sz w:val="32"/>
          <w:szCs w:val="32"/>
          <w:highlight w:val="none"/>
          <w:lang w:eastAsia="zh-CN"/>
        </w:rPr>
        <w:t>第</w:t>
      </w:r>
      <w:r>
        <w:rPr>
          <w:rFonts w:hint="eastAsia" w:ascii="仿宋_GB2312" w:hAnsi="宋体" w:eastAsia="仿宋_GB2312"/>
          <w:strike w:val="0"/>
          <w:color w:val="auto"/>
          <w:sz w:val="32"/>
          <w:szCs w:val="32"/>
          <w:highlight w:val="none"/>
          <w:lang w:val="en-US" w:eastAsia="zh-CN"/>
        </w:rPr>
        <w:t>八条 将《出让合同》第三十三条变更为：按照《交地协议》约定，</w:t>
      </w:r>
      <w:r>
        <w:rPr>
          <w:rFonts w:hint="eastAsia" w:ascii="仿宋_GB2312" w:hAnsi="宋体" w:eastAsia="仿宋_GB2312" w:cs="MS Gothic"/>
          <w:sz w:val="32"/>
          <w:szCs w:val="32"/>
          <w:highlight w:val="yellow"/>
          <w:u w:val="single"/>
          <w:lang w:val="en-US" w:eastAsia="zh-CN"/>
        </w:rPr>
        <w:t>北京市顺义区规划和自然资源综合事务中心</w:t>
      </w:r>
      <w:r>
        <w:rPr>
          <w:rFonts w:hint="eastAsia" w:ascii="仿宋_GB2312" w:hAnsi="宋体" w:eastAsia="仿宋_GB2312"/>
          <w:strike w:val="0"/>
          <w:color w:val="auto"/>
          <w:sz w:val="32"/>
          <w:szCs w:val="32"/>
          <w:highlight w:val="none"/>
          <w:lang w:val="en-US" w:eastAsia="zh-CN"/>
        </w:rPr>
        <w:t>未按时提供出让土地而致使受让人对本合同项下宗地占有延期的，受让人可申请顺延本合同第八条和第十五条约定的出让期限起始时间、开工时间和竣工时间。延期交付土地超过60日的，受让人可申请解除合同，出让人同意解除合同的，应当退还受让人已经支付的国有建设用地使用权出让价款。延期交付土地的违约责任按《交地协议》约定执行。</w:t>
      </w:r>
    </w:p>
    <w:p w14:paraId="5A3C4E43">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trike w:val="0"/>
          <w:color w:val="auto"/>
          <w:sz w:val="32"/>
          <w:szCs w:val="32"/>
          <w:highlight w:val="none"/>
        </w:rPr>
      </w:pPr>
      <w:r>
        <w:rPr>
          <w:rFonts w:hint="eastAsia" w:ascii="仿宋_GB2312" w:hAnsi="宋体" w:eastAsia="仿宋_GB2312"/>
          <w:strike w:val="0"/>
          <w:color w:val="auto"/>
          <w:sz w:val="32"/>
          <w:szCs w:val="32"/>
          <w:highlight w:val="none"/>
          <w:lang w:eastAsia="zh-CN"/>
        </w:rPr>
        <w:t>第九</w:t>
      </w:r>
      <w:r>
        <w:rPr>
          <w:rFonts w:hint="eastAsia" w:ascii="仿宋_GB2312" w:hAnsi="宋体" w:eastAsia="仿宋_GB2312"/>
          <w:strike w:val="0"/>
          <w:color w:val="auto"/>
          <w:sz w:val="32"/>
          <w:szCs w:val="32"/>
          <w:highlight w:val="none"/>
          <w:lang w:val="en-US" w:eastAsia="zh-CN"/>
        </w:rPr>
        <w:t>条 将《出让合同》第三十四条变更为：交付的土地未能达到《交地协议》约定的土地条件的，按照《交地协议》约定执行。</w:t>
      </w:r>
    </w:p>
    <w:p w14:paraId="1309E7F1">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eastAsia" w:ascii="仿宋_GB2312" w:hAnsi="宋体" w:eastAsia="仿宋_GB2312"/>
          <w:color w:val="000000"/>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w:t>
      </w:r>
      <w:r>
        <w:rPr>
          <w:rFonts w:hint="eastAsia" w:ascii="仿宋_GB2312" w:hAnsi="宋体" w:eastAsia="仿宋_GB2312"/>
          <w:sz w:val="32"/>
          <w:szCs w:val="32"/>
          <w:highlight w:val="none"/>
        </w:rPr>
        <w:t>条　</w:t>
      </w:r>
      <w:r>
        <w:rPr>
          <w:rFonts w:hint="eastAsia" w:ascii="仿宋_GB2312" w:hAnsi="宋体" w:eastAsia="仿宋_GB2312"/>
          <w:color w:val="000000"/>
          <w:sz w:val="32"/>
          <w:szCs w:val="32"/>
          <w:highlight w:val="none"/>
        </w:rPr>
        <w:t>出让宗地的使用条件经出让人审查批准后发生变化，出让人和受让人应签订出让合同补充协议，调整土地出让价款，土地出让价款按如下标准进行调整：</w:t>
      </w:r>
    </w:p>
    <w:p w14:paraId="693ECDC7">
      <w:pPr>
        <w:keepNext w:val="0"/>
        <w:keepLines w:val="0"/>
        <w:pageBreakBefore w:val="0"/>
        <w:widowControl w:val="0"/>
        <w:kinsoku/>
        <w:wordWrap/>
        <w:overflowPunct/>
        <w:topLinePunct w:val="0"/>
        <w:autoSpaceDE/>
        <w:autoSpaceDN/>
        <w:bidi w:val="0"/>
        <w:adjustRightInd/>
        <w:spacing w:line="560" w:lineRule="exact"/>
        <w:ind w:firstLine="645"/>
        <w:textAlignment w:val="auto"/>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（一）</w:t>
      </w:r>
      <w:r>
        <w:rPr>
          <w:rFonts w:hint="eastAsia" w:ascii="仿宋_GB2312" w:hAnsi="宋体" w:eastAsia="仿宋_GB2312"/>
          <w:color w:val="000000"/>
          <w:sz w:val="32"/>
          <w:szCs w:val="32"/>
          <w:highlight w:val="none"/>
          <w:lang w:eastAsia="zh-CN"/>
        </w:rPr>
        <w:t>本次挂牌</w:t>
      </w:r>
      <w:r>
        <w:rPr>
          <w:rFonts w:hint="eastAsia" w:ascii="仿宋_GB2312" w:hAnsi="宋体" w:eastAsia="仿宋_GB2312"/>
          <w:color w:val="000000"/>
          <w:sz w:val="32"/>
          <w:szCs w:val="32"/>
          <w:highlight w:val="none"/>
          <w:lang w:val="en-US" w:eastAsia="zh-CN"/>
        </w:rPr>
        <w:t>出让宗地最低地上出让价款总</w:t>
      </w:r>
      <w:r>
        <w:rPr>
          <w:rFonts w:hint="eastAsia" w:ascii="仿宋_GB2312" w:hAnsi="宋体" w:eastAsia="仿宋_GB2312"/>
          <w:color w:val="000000"/>
          <w:sz w:val="32"/>
          <w:szCs w:val="32"/>
          <w:highlight w:val="none"/>
        </w:rPr>
        <w:t>金额为人民币（大写）</w:t>
      </w:r>
      <w:r>
        <w:rPr>
          <w:rFonts w:hint="eastAsia" w:ascii="仿宋_GB2312" w:hAnsi="宋体" w:eastAsia="仿宋_GB2312"/>
          <w:color w:val="000000"/>
          <w:sz w:val="32"/>
          <w:szCs w:val="32"/>
          <w:highlight w:val="none"/>
          <w:u w:val="single"/>
          <w:lang w:val="en-US" w:eastAsia="zh-CN"/>
        </w:rPr>
        <w:t xml:space="preserve">      </w:t>
      </w:r>
      <w:r>
        <w:rPr>
          <w:rFonts w:hint="eastAsia" w:ascii="仿宋_GB2312" w:hAnsi="宋体" w:eastAsia="仿宋_GB2312"/>
          <w:color w:val="000000"/>
          <w:sz w:val="32"/>
          <w:szCs w:val="32"/>
          <w:highlight w:val="none"/>
        </w:rPr>
        <w:t>元整（￥</w:t>
      </w:r>
      <w:r>
        <w:rPr>
          <w:rFonts w:hint="eastAsia" w:ascii="仿宋_GB2312" w:hAnsi="宋体" w:eastAsia="仿宋_GB2312"/>
          <w:color w:val="000000"/>
          <w:sz w:val="32"/>
          <w:szCs w:val="32"/>
          <w:highlight w:val="none"/>
          <w:u w:val="single"/>
          <w:lang w:val="en-US" w:eastAsia="zh-CN"/>
        </w:rPr>
        <w:t xml:space="preserve">     万元</w:t>
      </w:r>
      <w:r>
        <w:rPr>
          <w:rFonts w:hint="eastAsia" w:ascii="仿宋_GB2312" w:hAnsi="宋体" w:eastAsia="仿宋_GB2312"/>
          <w:color w:val="000000"/>
          <w:sz w:val="32"/>
          <w:szCs w:val="32"/>
          <w:highlight w:val="none"/>
        </w:rPr>
        <w:t>）。受让人应严格按照批准的规划条件使用土地。</w:t>
      </w:r>
    </w:p>
    <w:p w14:paraId="4AD4F01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（二）经相关主管部门审批确定，该宗地地上出让建筑规模增加在3%（含）以内且未改变规划条件的，按以下标准补缴地价款：</w:t>
      </w:r>
    </w:p>
    <w:p w14:paraId="1A4AF5E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地上增加的出让建筑规模应补交的地价款=土地成交楼面单价×（确定的地上出让建筑规模-22566.44）（元）。</w:t>
      </w:r>
    </w:p>
    <w:p w14:paraId="31D32DC3">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（三）如因特殊原因，经相关主管部门审批确定，该宗地地上出让建筑规模增加在3%以上或改变规划条件的，需按照国有建设用地使用权出让地价评估技术规范的有关要求，组织评估确定补缴的地价款。</w:t>
      </w:r>
    </w:p>
    <w:p w14:paraId="13E95EF1">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（四）地下非经营性用途建筑面积免收出让价款；地下经营性用途建筑面积按以下标准收取出让价款：</w:t>
      </w:r>
    </w:p>
    <w:p w14:paraId="1FBD28E4">
      <w:pPr>
        <w:spacing w:line="4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下建筑面积应补交的出让价款金额=土地成交楼面单价×相应用途地下空间修正系数×25%×相应用途地下出让建筑规模（地下商业对应商业级别，地下办公对应办公级别，地下仓储、车库应对应各自地块主要用途的土地级别；该宗地土地级别以《北京市人民政府关于更新出让国有建设用地使用权基准地价的通知》（京政发〔2022〕12号）规定为准）。</w:t>
      </w:r>
    </w:p>
    <w:p w14:paraId="1CE9F0A1">
      <w:pPr>
        <w:spacing w:line="460" w:lineRule="exact"/>
        <w:ind w:firstLine="640" w:firstLineChars="200"/>
        <w:rPr>
          <w:rFonts w:hint="eastAsia" w:ascii="仿宋_GB2312" w:hAnsi="宋体" w:eastAsia="仿宋_GB2312"/>
          <w:color w:val="000000"/>
          <w:sz w:val="32"/>
          <w:szCs w:val="32"/>
          <w:highlight w:val="none"/>
        </w:rPr>
      </w:pPr>
      <w:r>
        <w:rPr>
          <w:rFonts w:hint="eastAsia" w:ascii="仿宋_GB2312" w:hAnsi="宋体" w:eastAsia="仿宋_GB2312"/>
          <w:color w:val="000000"/>
          <w:sz w:val="32"/>
          <w:szCs w:val="32"/>
          <w:highlight w:val="none"/>
        </w:rPr>
        <w:t>该宗地属于</w:t>
      </w:r>
      <w:r>
        <w:rPr>
          <w:rFonts w:hint="eastAsia" w:ascii="仿宋_GB2312" w:hAnsi="宋体" w:eastAsia="仿宋_GB2312" w:cs="MS Gothic"/>
          <w:color w:val="auto"/>
          <w:sz w:val="32"/>
          <w:szCs w:val="32"/>
          <w:highlight w:val="none"/>
          <w:lang w:eastAsia="zh-CN"/>
        </w:rPr>
        <w:t>居住7级、商业7级、公服7级地价区</w:t>
      </w:r>
      <w:r>
        <w:rPr>
          <w:rFonts w:hint="eastAsia" w:ascii="仿宋_GB2312" w:hAnsi="宋体" w:eastAsia="仿宋_GB2312"/>
          <w:color w:val="000000"/>
          <w:sz w:val="32"/>
          <w:szCs w:val="32"/>
          <w:highlight w:val="none"/>
        </w:rPr>
        <w:t>。</w:t>
      </w:r>
    </w:p>
    <w:tbl>
      <w:tblPr>
        <w:tblStyle w:val="6"/>
        <w:tblW w:w="0" w:type="auto"/>
        <w:tblInd w:w="0" w:type="dxa"/>
        <w:tblLayout w:type="fixed"/>
        <w:tblCellMar>
          <w:top w:w="0" w:type="dxa"/>
          <w:left w:w="108" w:type="dxa"/>
          <w:bottom w:w="0" w:type="dxa"/>
          <w:right w:w="108" w:type="dxa"/>
        </w:tblCellMar>
      </w:tblPr>
      <w:tblGrid>
        <w:gridCol w:w="1378"/>
        <w:gridCol w:w="1377"/>
        <w:gridCol w:w="1377"/>
        <w:gridCol w:w="1468"/>
        <w:gridCol w:w="1815"/>
        <w:gridCol w:w="1365"/>
      </w:tblGrid>
      <w:tr w14:paraId="136754F1">
        <w:tblPrEx>
          <w:tblCellMar>
            <w:top w:w="0" w:type="dxa"/>
            <w:left w:w="108" w:type="dxa"/>
            <w:bottom w:w="0" w:type="dxa"/>
            <w:right w:w="108" w:type="dxa"/>
          </w:tblCellMar>
        </w:tblPrEx>
        <w:trPr>
          <w:trHeight w:val="680" w:hRule="atLeast"/>
        </w:trPr>
        <w:tc>
          <w:tcPr>
            <w:tcW w:w="1378" w:type="dxa"/>
            <w:vMerge w:val="restart"/>
            <w:tcBorders>
              <w:top w:val="single" w:color="auto" w:sz="4" w:space="0"/>
              <w:left w:val="single" w:color="auto" w:sz="4" w:space="0"/>
              <w:bottom w:val="single" w:color="auto" w:sz="4" w:space="0"/>
              <w:right w:val="single" w:color="auto" w:sz="4" w:space="0"/>
            </w:tcBorders>
            <w:noWrap w:val="0"/>
            <w:vAlign w:val="center"/>
          </w:tcPr>
          <w:p w14:paraId="2C885985">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地下空间</w:t>
            </w:r>
          </w:p>
          <w:p w14:paraId="367709CB">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用途</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7A4A3BCC">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适用</w:t>
            </w:r>
          </w:p>
          <w:p w14:paraId="01C6B545">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基准地价</w:t>
            </w:r>
          </w:p>
        </w:tc>
        <w:tc>
          <w:tcPr>
            <w:tcW w:w="1377" w:type="dxa"/>
            <w:vMerge w:val="restart"/>
            <w:tcBorders>
              <w:top w:val="single" w:color="auto" w:sz="4" w:space="0"/>
              <w:left w:val="single" w:color="auto" w:sz="4" w:space="0"/>
              <w:bottom w:val="single" w:color="auto" w:sz="4" w:space="0"/>
              <w:right w:val="single" w:color="auto" w:sz="4" w:space="0"/>
            </w:tcBorders>
            <w:noWrap w:val="0"/>
            <w:vAlign w:val="center"/>
          </w:tcPr>
          <w:p w14:paraId="1A5B7042">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所在楼层</w:t>
            </w:r>
          </w:p>
        </w:tc>
        <w:tc>
          <w:tcPr>
            <w:tcW w:w="4648" w:type="dxa"/>
            <w:gridSpan w:val="3"/>
            <w:tcBorders>
              <w:top w:val="single" w:color="auto" w:sz="4" w:space="0"/>
              <w:left w:val="nil"/>
              <w:bottom w:val="single" w:color="auto" w:sz="4" w:space="0"/>
              <w:right w:val="single" w:color="auto" w:sz="4" w:space="0"/>
            </w:tcBorders>
            <w:noWrap w:val="0"/>
            <w:vAlign w:val="center"/>
          </w:tcPr>
          <w:p w14:paraId="6170068F">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地下空间修正系数</w:t>
            </w:r>
          </w:p>
        </w:tc>
      </w:tr>
      <w:tr w14:paraId="176409CC">
        <w:tblPrEx>
          <w:tblCellMar>
            <w:top w:w="0" w:type="dxa"/>
            <w:left w:w="108" w:type="dxa"/>
            <w:bottom w:w="0" w:type="dxa"/>
            <w:right w:w="108" w:type="dxa"/>
          </w:tblCellMar>
        </w:tblPrEx>
        <w:trPr>
          <w:trHeight w:val="680" w:hRule="atLeast"/>
        </w:trPr>
        <w:tc>
          <w:tcPr>
            <w:tcW w:w="1378" w:type="dxa"/>
            <w:vMerge w:val="continue"/>
            <w:tcBorders>
              <w:top w:val="single" w:color="auto" w:sz="4" w:space="0"/>
              <w:left w:val="single" w:color="auto" w:sz="4" w:space="0"/>
              <w:bottom w:val="single" w:color="auto" w:sz="4" w:space="0"/>
              <w:right w:val="single" w:color="auto" w:sz="4" w:space="0"/>
            </w:tcBorders>
            <w:noWrap w:val="0"/>
            <w:vAlign w:val="center"/>
          </w:tcPr>
          <w:p w14:paraId="2CC1A883">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2F2881F4">
            <w:pPr>
              <w:spacing w:line="240" w:lineRule="auto"/>
              <w:rPr>
                <w:rFonts w:ascii="Times New Roman" w:hAnsi="Times New Roman" w:cs="Times New Roman"/>
                <w:b/>
                <w:bCs/>
                <w:color w:val="auto"/>
                <w:szCs w:val="21"/>
                <w:highlight w:val="none"/>
              </w:rPr>
            </w:pPr>
          </w:p>
        </w:tc>
        <w:tc>
          <w:tcPr>
            <w:tcW w:w="1377" w:type="dxa"/>
            <w:vMerge w:val="continue"/>
            <w:tcBorders>
              <w:top w:val="single" w:color="auto" w:sz="4" w:space="0"/>
              <w:left w:val="single" w:color="auto" w:sz="4" w:space="0"/>
              <w:bottom w:val="single" w:color="auto" w:sz="4" w:space="0"/>
              <w:right w:val="single" w:color="auto" w:sz="4" w:space="0"/>
            </w:tcBorders>
            <w:noWrap w:val="0"/>
            <w:vAlign w:val="center"/>
          </w:tcPr>
          <w:p w14:paraId="6871A407">
            <w:pPr>
              <w:spacing w:line="240" w:lineRule="auto"/>
              <w:rPr>
                <w:rFonts w:ascii="Times New Roman" w:hAnsi="Times New Roman" w:cs="Times New Roman"/>
                <w:b/>
                <w:bCs/>
                <w:color w:val="auto"/>
                <w:szCs w:val="21"/>
                <w:highlight w:val="none"/>
              </w:rPr>
            </w:pPr>
          </w:p>
        </w:tc>
        <w:tc>
          <w:tcPr>
            <w:tcW w:w="1468" w:type="dxa"/>
            <w:tcBorders>
              <w:top w:val="nil"/>
              <w:left w:val="nil"/>
              <w:bottom w:val="single" w:color="auto" w:sz="4" w:space="0"/>
              <w:right w:val="single" w:color="auto" w:sz="4" w:space="0"/>
            </w:tcBorders>
            <w:noWrap w:val="0"/>
            <w:vAlign w:val="center"/>
          </w:tcPr>
          <w:p w14:paraId="4B716496">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一至二级</w:t>
            </w:r>
          </w:p>
        </w:tc>
        <w:tc>
          <w:tcPr>
            <w:tcW w:w="1815" w:type="dxa"/>
            <w:tcBorders>
              <w:top w:val="nil"/>
              <w:left w:val="nil"/>
              <w:bottom w:val="single" w:color="auto" w:sz="4" w:space="0"/>
              <w:right w:val="single" w:color="auto" w:sz="4" w:space="0"/>
            </w:tcBorders>
            <w:noWrap w:val="0"/>
            <w:vAlign w:val="center"/>
          </w:tcPr>
          <w:p w14:paraId="61809D96">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三至七级</w:t>
            </w:r>
          </w:p>
        </w:tc>
        <w:tc>
          <w:tcPr>
            <w:tcW w:w="1365" w:type="dxa"/>
            <w:tcBorders>
              <w:top w:val="nil"/>
              <w:left w:val="nil"/>
              <w:bottom w:val="single" w:color="auto" w:sz="4" w:space="0"/>
              <w:right w:val="single" w:color="auto" w:sz="4" w:space="0"/>
            </w:tcBorders>
            <w:noWrap w:val="0"/>
            <w:vAlign w:val="center"/>
          </w:tcPr>
          <w:p w14:paraId="1D33537F">
            <w:pPr>
              <w:spacing w:line="240" w:lineRule="auto"/>
              <w:jc w:val="center"/>
              <w:rPr>
                <w:rFonts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八至十二级</w:t>
            </w:r>
          </w:p>
        </w:tc>
      </w:tr>
      <w:tr w14:paraId="24133222">
        <w:tblPrEx>
          <w:tblCellMar>
            <w:top w:w="0" w:type="dxa"/>
            <w:left w:w="108" w:type="dxa"/>
            <w:bottom w:w="0" w:type="dxa"/>
            <w:right w:w="108" w:type="dxa"/>
          </w:tblCellMar>
        </w:tblPrEx>
        <w:trPr>
          <w:trHeight w:val="680" w:hRule="atLeast"/>
        </w:trPr>
        <w:tc>
          <w:tcPr>
            <w:tcW w:w="1378" w:type="dxa"/>
            <w:vMerge w:val="restart"/>
            <w:tcBorders>
              <w:top w:val="nil"/>
              <w:left w:val="single" w:color="auto" w:sz="4" w:space="0"/>
              <w:bottom w:val="single" w:color="auto" w:sz="4" w:space="0"/>
              <w:right w:val="single" w:color="auto" w:sz="4" w:space="0"/>
            </w:tcBorders>
            <w:noWrap w:val="0"/>
            <w:vAlign w:val="center"/>
          </w:tcPr>
          <w:p w14:paraId="394D553C">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地下商业</w:t>
            </w:r>
          </w:p>
        </w:tc>
        <w:tc>
          <w:tcPr>
            <w:tcW w:w="1377" w:type="dxa"/>
            <w:vMerge w:val="restart"/>
            <w:tcBorders>
              <w:top w:val="nil"/>
              <w:left w:val="single" w:color="auto" w:sz="4" w:space="0"/>
              <w:bottom w:val="single" w:color="auto" w:sz="4" w:space="0"/>
              <w:right w:val="single" w:color="auto" w:sz="4" w:space="0"/>
            </w:tcBorders>
            <w:noWrap w:val="0"/>
            <w:vAlign w:val="center"/>
          </w:tcPr>
          <w:p w14:paraId="7815665A">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商业类</w:t>
            </w:r>
          </w:p>
        </w:tc>
        <w:tc>
          <w:tcPr>
            <w:tcW w:w="1377" w:type="dxa"/>
            <w:tcBorders>
              <w:top w:val="nil"/>
              <w:left w:val="nil"/>
              <w:bottom w:val="single" w:color="auto" w:sz="4" w:space="0"/>
              <w:right w:val="single" w:color="auto" w:sz="4" w:space="0"/>
            </w:tcBorders>
            <w:noWrap w:val="0"/>
            <w:vAlign w:val="center"/>
          </w:tcPr>
          <w:p w14:paraId="6DEA4B0B">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地下第1层</w:t>
            </w:r>
          </w:p>
        </w:tc>
        <w:tc>
          <w:tcPr>
            <w:tcW w:w="1468" w:type="dxa"/>
            <w:tcBorders>
              <w:top w:val="nil"/>
              <w:left w:val="nil"/>
              <w:bottom w:val="single" w:color="auto" w:sz="4" w:space="0"/>
              <w:right w:val="single" w:color="auto" w:sz="4" w:space="0"/>
            </w:tcBorders>
            <w:noWrap w:val="0"/>
            <w:vAlign w:val="center"/>
          </w:tcPr>
          <w:p w14:paraId="0BDFF450">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0.70 </w:t>
            </w:r>
          </w:p>
        </w:tc>
        <w:tc>
          <w:tcPr>
            <w:tcW w:w="1815" w:type="dxa"/>
            <w:tcBorders>
              <w:top w:val="nil"/>
              <w:left w:val="nil"/>
              <w:bottom w:val="single" w:color="auto" w:sz="4" w:space="0"/>
              <w:right w:val="single" w:color="auto" w:sz="4" w:space="0"/>
            </w:tcBorders>
            <w:noWrap w:val="0"/>
            <w:vAlign w:val="center"/>
          </w:tcPr>
          <w:p w14:paraId="3B3F5CE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0.60 </w:t>
            </w:r>
          </w:p>
        </w:tc>
        <w:tc>
          <w:tcPr>
            <w:tcW w:w="1365" w:type="dxa"/>
            <w:tcBorders>
              <w:top w:val="nil"/>
              <w:left w:val="nil"/>
              <w:bottom w:val="single" w:color="auto" w:sz="4" w:space="0"/>
              <w:right w:val="single" w:color="auto" w:sz="4" w:space="0"/>
            </w:tcBorders>
            <w:noWrap w:val="0"/>
            <w:vAlign w:val="center"/>
          </w:tcPr>
          <w:p w14:paraId="61879220">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0.50 </w:t>
            </w:r>
          </w:p>
        </w:tc>
      </w:tr>
      <w:tr w14:paraId="06012AB2">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38A67104">
            <w:pPr>
              <w:spacing w:line="240" w:lineRule="auto"/>
              <w:jc w:val="center"/>
              <w:rPr>
                <w:rFonts w:hint="default"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4EBD339C">
            <w:pPr>
              <w:spacing w:line="240" w:lineRule="auto"/>
              <w:jc w:val="center"/>
              <w:rPr>
                <w:rFonts w:hint="default"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30FA53C4">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地下第2层</w:t>
            </w:r>
          </w:p>
        </w:tc>
        <w:tc>
          <w:tcPr>
            <w:tcW w:w="1468" w:type="dxa"/>
            <w:tcBorders>
              <w:top w:val="nil"/>
              <w:left w:val="nil"/>
              <w:bottom w:val="single" w:color="auto" w:sz="4" w:space="0"/>
              <w:right w:val="single" w:color="auto" w:sz="4" w:space="0"/>
            </w:tcBorders>
            <w:noWrap w:val="0"/>
            <w:vAlign w:val="center"/>
          </w:tcPr>
          <w:p w14:paraId="360D582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0.40 </w:t>
            </w:r>
          </w:p>
        </w:tc>
        <w:tc>
          <w:tcPr>
            <w:tcW w:w="1815" w:type="dxa"/>
            <w:tcBorders>
              <w:top w:val="nil"/>
              <w:left w:val="nil"/>
              <w:bottom w:val="single" w:color="auto" w:sz="4" w:space="0"/>
              <w:right w:val="single" w:color="auto" w:sz="4" w:space="0"/>
            </w:tcBorders>
            <w:noWrap w:val="0"/>
            <w:vAlign w:val="center"/>
          </w:tcPr>
          <w:p w14:paraId="7979465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0.30 </w:t>
            </w:r>
          </w:p>
        </w:tc>
        <w:tc>
          <w:tcPr>
            <w:tcW w:w="1365" w:type="dxa"/>
            <w:tcBorders>
              <w:top w:val="nil"/>
              <w:left w:val="nil"/>
              <w:bottom w:val="single" w:color="auto" w:sz="4" w:space="0"/>
              <w:right w:val="single" w:color="auto" w:sz="4" w:space="0"/>
            </w:tcBorders>
            <w:noWrap w:val="0"/>
            <w:vAlign w:val="center"/>
          </w:tcPr>
          <w:p w14:paraId="6126864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0.20 </w:t>
            </w:r>
          </w:p>
        </w:tc>
      </w:tr>
      <w:tr w14:paraId="744FF22C">
        <w:tblPrEx>
          <w:tblCellMar>
            <w:top w:w="0" w:type="dxa"/>
            <w:left w:w="108" w:type="dxa"/>
            <w:bottom w:w="0" w:type="dxa"/>
            <w:right w:w="108" w:type="dxa"/>
          </w:tblCellMar>
        </w:tblPrEx>
        <w:trPr>
          <w:trHeight w:val="680" w:hRule="atLeast"/>
        </w:trPr>
        <w:tc>
          <w:tcPr>
            <w:tcW w:w="1378" w:type="dxa"/>
            <w:vMerge w:val="continue"/>
            <w:tcBorders>
              <w:top w:val="nil"/>
              <w:left w:val="single" w:color="auto" w:sz="4" w:space="0"/>
              <w:bottom w:val="single" w:color="auto" w:sz="4" w:space="0"/>
              <w:right w:val="single" w:color="auto" w:sz="4" w:space="0"/>
            </w:tcBorders>
            <w:noWrap w:val="0"/>
            <w:vAlign w:val="center"/>
          </w:tcPr>
          <w:p w14:paraId="6CAEB90D">
            <w:pPr>
              <w:spacing w:line="240" w:lineRule="auto"/>
              <w:jc w:val="center"/>
              <w:rPr>
                <w:rFonts w:hint="default" w:ascii="Times New Roman" w:hAnsi="Times New Roman" w:cs="Times New Roman"/>
                <w:color w:val="auto"/>
                <w:szCs w:val="21"/>
                <w:highlight w:val="none"/>
              </w:rPr>
            </w:pPr>
          </w:p>
        </w:tc>
        <w:tc>
          <w:tcPr>
            <w:tcW w:w="1377" w:type="dxa"/>
            <w:vMerge w:val="continue"/>
            <w:tcBorders>
              <w:top w:val="nil"/>
              <w:left w:val="single" w:color="auto" w:sz="4" w:space="0"/>
              <w:bottom w:val="single" w:color="auto" w:sz="4" w:space="0"/>
              <w:right w:val="single" w:color="auto" w:sz="4" w:space="0"/>
            </w:tcBorders>
            <w:noWrap w:val="0"/>
            <w:vAlign w:val="center"/>
          </w:tcPr>
          <w:p w14:paraId="00B932DA">
            <w:pPr>
              <w:spacing w:line="240" w:lineRule="auto"/>
              <w:jc w:val="center"/>
              <w:rPr>
                <w:rFonts w:hint="default" w:ascii="Times New Roman" w:hAnsi="Times New Roman" w:cs="Times New Roman"/>
                <w:color w:val="auto"/>
                <w:szCs w:val="21"/>
                <w:highlight w:val="none"/>
              </w:rPr>
            </w:pPr>
          </w:p>
        </w:tc>
        <w:tc>
          <w:tcPr>
            <w:tcW w:w="1377" w:type="dxa"/>
            <w:tcBorders>
              <w:top w:val="nil"/>
              <w:left w:val="nil"/>
              <w:bottom w:val="single" w:color="auto" w:sz="4" w:space="0"/>
              <w:right w:val="single" w:color="auto" w:sz="4" w:space="0"/>
            </w:tcBorders>
            <w:noWrap w:val="0"/>
            <w:vAlign w:val="center"/>
          </w:tcPr>
          <w:p w14:paraId="27995316">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地下第3层</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及以下各层</w:t>
            </w:r>
          </w:p>
        </w:tc>
        <w:tc>
          <w:tcPr>
            <w:tcW w:w="1468" w:type="dxa"/>
            <w:tcBorders>
              <w:top w:val="nil"/>
              <w:left w:val="nil"/>
              <w:bottom w:val="single" w:color="auto" w:sz="4" w:space="0"/>
              <w:right w:val="single" w:color="auto" w:sz="4" w:space="0"/>
            </w:tcBorders>
            <w:noWrap w:val="0"/>
            <w:vAlign w:val="center"/>
          </w:tcPr>
          <w:p w14:paraId="15AB402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0.30 </w:t>
            </w:r>
          </w:p>
        </w:tc>
        <w:tc>
          <w:tcPr>
            <w:tcW w:w="1815" w:type="dxa"/>
            <w:tcBorders>
              <w:top w:val="nil"/>
              <w:left w:val="nil"/>
              <w:bottom w:val="single" w:color="auto" w:sz="4" w:space="0"/>
              <w:right w:val="single" w:color="auto" w:sz="4" w:space="0"/>
            </w:tcBorders>
            <w:noWrap w:val="0"/>
            <w:vAlign w:val="center"/>
          </w:tcPr>
          <w:p w14:paraId="072EE6B1">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0.25 </w:t>
            </w:r>
          </w:p>
        </w:tc>
        <w:tc>
          <w:tcPr>
            <w:tcW w:w="1365" w:type="dxa"/>
            <w:tcBorders>
              <w:top w:val="nil"/>
              <w:left w:val="nil"/>
              <w:bottom w:val="single" w:color="auto" w:sz="4" w:space="0"/>
              <w:right w:val="single" w:color="auto" w:sz="4" w:space="0"/>
            </w:tcBorders>
            <w:noWrap w:val="0"/>
            <w:vAlign w:val="center"/>
          </w:tcPr>
          <w:p w14:paraId="6BC8CD4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0.20 </w:t>
            </w:r>
          </w:p>
        </w:tc>
      </w:tr>
      <w:tr w14:paraId="0F9EC7FE">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0CC57945">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地下办公</w:t>
            </w:r>
          </w:p>
        </w:tc>
        <w:tc>
          <w:tcPr>
            <w:tcW w:w="1377" w:type="dxa"/>
            <w:tcBorders>
              <w:top w:val="nil"/>
              <w:left w:val="nil"/>
              <w:bottom w:val="single" w:color="auto" w:sz="4" w:space="0"/>
              <w:right w:val="single" w:color="auto" w:sz="4" w:space="0"/>
            </w:tcBorders>
            <w:noWrap w:val="0"/>
            <w:vAlign w:val="center"/>
          </w:tcPr>
          <w:p w14:paraId="3BFBC8FA">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办公类</w:t>
            </w:r>
          </w:p>
        </w:tc>
        <w:tc>
          <w:tcPr>
            <w:tcW w:w="1377" w:type="dxa"/>
            <w:tcBorders>
              <w:top w:val="nil"/>
              <w:left w:val="nil"/>
              <w:bottom w:val="single" w:color="auto" w:sz="4" w:space="0"/>
              <w:right w:val="single" w:color="auto" w:sz="4" w:space="0"/>
            </w:tcBorders>
            <w:noWrap w:val="0"/>
            <w:vAlign w:val="center"/>
          </w:tcPr>
          <w:p w14:paraId="3EA7CA08">
            <w:pPr>
              <w:spacing w:line="24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468" w:type="dxa"/>
            <w:tcBorders>
              <w:top w:val="nil"/>
              <w:left w:val="nil"/>
              <w:bottom w:val="single" w:color="auto" w:sz="4" w:space="0"/>
              <w:right w:val="single" w:color="auto" w:sz="4" w:space="0"/>
            </w:tcBorders>
            <w:noWrap w:val="0"/>
            <w:vAlign w:val="center"/>
          </w:tcPr>
          <w:p w14:paraId="7034B54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0.30 </w:t>
            </w:r>
          </w:p>
        </w:tc>
        <w:tc>
          <w:tcPr>
            <w:tcW w:w="1815" w:type="dxa"/>
            <w:tcBorders>
              <w:top w:val="nil"/>
              <w:left w:val="nil"/>
              <w:bottom w:val="single" w:color="auto" w:sz="4" w:space="0"/>
              <w:right w:val="single" w:color="auto" w:sz="4" w:space="0"/>
            </w:tcBorders>
            <w:noWrap w:val="0"/>
            <w:vAlign w:val="center"/>
          </w:tcPr>
          <w:p w14:paraId="52FD8107">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0.25 </w:t>
            </w:r>
          </w:p>
        </w:tc>
        <w:tc>
          <w:tcPr>
            <w:tcW w:w="1365" w:type="dxa"/>
            <w:tcBorders>
              <w:top w:val="nil"/>
              <w:left w:val="nil"/>
              <w:bottom w:val="single" w:color="auto" w:sz="4" w:space="0"/>
              <w:right w:val="single" w:color="auto" w:sz="4" w:space="0"/>
            </w:tcBorders>
            <w:noWrap w:val="0"/>
            <w:vAlign w:val="center"/>
          </w:tcPr>
          <w:p w14:paraId="4479F28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0.20 </w:t>
            </w:r>
          </w:p>
        </w:tc>
      </w:tr>
      <w:tr w14:paraId="4986C471">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320733B6">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地下仓储</w:t>
            </w:r>
          </w:p>
          <w:p w14:paraId="733AF9F8">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（及其他）</w:t>
            </w:r>
          </w:p>
        </w:tc>
        <w:tc>
          <w:tcPr>
            <w:tcW w:w="1377" w:type="dxa"/>
            <w:tcBorders>
              <w:top w:val="nil"/>
              <w:left w:val="nil"/>
              <w:bottom w:val="single" w:color="auto" w:sz="4" w:space="0"/>
              <w:right w:val="single" w:color="auto" w:sz="4" w:space="0"/>
            </w:tcBorders>
            <w:noWrap w:val="0"/>
            <w:vAlign w:val="center"/>
          </w:tcPr>
          <w:p w14:paraId="02A124D4">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5C722376">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468" w:type="dxa"/>
            <w:tcBorders>
              <w:top w:val="nil"/>
              <w:left w:val="nil"/>
              <w:bottom w:val="single" w:color="auto" w:sz="4" w:space="0"/>
              <w:right w:val="single" w:color="auto" w:sz="4" w:space="0"/>
            </w:tcBorders>
            <w:noWrap w:val="0"/>
            <w:vAlign w:val="center"/>
          </w:tcPr>
          <w:p w14:paraId="22DC851E">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0.30 </w:t>
            </w:r>
          </w:p>
        </w:tc>
        <w:tc>
          <w:tcPr>
            <w:tcW w:w="1815" w:type="dxa"/>
            <w:tcBorders>
              <w:top w:val="nil"/>
              <w:left w:val="nil"/>
              <w:bottom w:val="single" w:color="auto" w:sz="4" w:space="0"/>
              <w:right w:val="single" w:color="auto" w:sz="4" w:space="0"/>
            </w:tcBorders>
            <w:noWrap w:val="0"/>
            <w:vAlign w:val="center"/>
          </w:tcPr>
          <w:p w14:paraId="4670B4FB">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0.25 </w:t>
            </w:r>
          </w:p>
        </w:tc>
        <w:tc>
          <w:tcPr>
            <w:tcW w:w="1365" w:type="dxa"/>
            <w:tcBorders>
              <w:top w:val="nil"/>
              <w:left w:val="nil"/>
              <w:bottom w:val="single" w:color="auto" w:sz="4" w:space="0"/>
              <w:right w:val="single" w:color="auto" w:sz="4" w:space="0"/>
            </w:tcBorders>
            <w:noWrap w:val="0"/>
            <w:vAlign w:val="center"/>
          </w:tcPr>
          <w:p w14:paraId="3279F3C4">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0.20 </w:t>
            </w:r>
          </w:p>
        </w:tc>
      </w:tr>
      <w:tr w14:paraId="7CD26376">
        <w:tblPrEx>
          <w:tblCellMar>
            <w:top w:w="0" w:type="dxa"/>
            <w:left w:w="108" w:type="dxa"/>
            <w:bottom w:w="0" w:type="dxa"/>
            <w:right w:w="108" w:type="dxa"/>
          </w:tblCellMar>
        </w:tblPrEx>
        <w:trPr>
          <w:trHeight w:val="680" w:hRule="atLeast"/>
        </w:trPr>
        <w:tc>
          <w:tcPr>
            <w:tcW w:w="1378" w:type="dxa"/>
            <w:tcBorders>
              <w:top w:val="nil"/>
              <w:left w:val="single" w:color="auto" w:sz="4" w:space="0"/>
              <w:bottom w:val="single" w:color="auto" w:sz="4" w:space="0"/>
              <w:right w:val="single" w:color="auto" w:sz="4" w:space="0"/>
            </w:tcBorders>
            <w:noWrap w:val="0"/>
            <w:vAlign w:val="center"/>
          </w:tcPr>
          <w:p w14:paraId="2CA443A2">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地下车库</w:t>
            </w:r>
          </w:p>
        </w:tc>
        <w:tc>
          <w:tcPr>
            <w:tcW w:w="1377" w:type="dxa"/>
            <w:tcBorders>
              <w:top w:val="nil"/>
              <w:left w:val="nil"/>
              <w:bottom w:val="single" w:color="auto" w:sz="4" w:space="0"/>
              <w:right w:val="single" w:color="auto" w:sz="4" w:space="0"/>
            </w:tcBorders>
            <w:noWrap w:val="0"/>
            <w:vAlign w:val="center"/>
          </w:tcPr>
          <w:p w14:paraId="05A8D9D3">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地上主用途</w:t>
            </w:r>
          </w:p>
        </w:tc>
        <w:tc>
          <w:tcPr>
            <w:tcW w:w="1377" w:type="dxa"/>
            <w:tcBorders>
              <w:top w:val="nil"/>
              <w:left w:val="nil"/>
              <w:bottom w:val="single" w:color="auto" w:sz="4" w:space="0"/>
              <w:right w:val="single" w:color="auto" w:sz="4" w:space="0"/>
            </w:tcBorders>
            <w:noWrap w:val="0"/>
            <w:vAlign w:val="center"/>
          </w:tcPr>
          <w:p w14:paraId="65C9EED7">
            <w:pPr>
              <w:spacing w:line="240" w:lineRule="auto"/>
              <w:jc w:val="center"/>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468" w:type="dxa"/>
            <w:tcBorders>
              <w:top w:val="nil"/>
              <w:left w:val="nil"/>
              <w:bottom w:val="single" w:color="auto" w:sz="4" w:space="0"/>
              <w:right w:val="single" w:color="auto" w:sz="4" w:space="0"/>
            </w:tcBorders>
            <w:noWrap w:val="0"/>
            <w:vAlign w:val="center"/>
          </w:tcPr>
          <w:p w14:paraId="0BCD31FC">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0.20 </w:t>
            </w:r>
          </w:p>
        </w:tc>
        <w:tc>
          <w:tcPr>
            <w:tcW w:w="1815" w:type="dxa"/>
            <w:tcBorders>
              <w:top w:val="nil"/>
              <w:left w:val="nil"/>
              <w:bottom w:val="single" w:color="auto" w:sz="4" w:space="0"/>
              <w:right w:val="single" w:color="auto" w:sz="4" w:space="0"/>
            </w:tcBorders>
            <w:noWrap w:val="0"/>
            <w:vAlign w:val="center"/>
          </w:tcPr>
          <w:p w14:paraId="4EDDE873">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0.15 </w:t>
            </w:r>
          </w:p>
        </w:tc>
        <w:tc>
          <w:tcPr>
            <w:tcW w:w="1365" w:type="dxa"/>
            <w:tcBorders>
              <w:top w:val="nil"/>
              <w:left w:val="nil"/>
              <w:bottom w:val="single" w:color="auto" w:sz="4" w:space="0"/>
              <w:right w:val="single" w:color="auto" w:sz="4" w:space="0"/>
            </w:tcBorders>
            <w:noWrap w:val="0"/>
            <w:vAlign w:val="center"/>
          </w:tcPr>
          <w:p w14:paraId="63704C65">
            <w:pPr>
              <w:spacing w:line="240" w:lineRule="auto"/>
              <w:jc w:val="center"/>
              <w:rPr>
                <w:rFonts w:ascii="Times New Roman" w:hAnsi="Times New Roman" w:cs="Times New Roman"/>
                <w:color w:val="auto"/>
                <w:szCs w:val="21"/>
                <w:highlight w:val="none"/>
              </w:rPr>
            </w:pPr>
            <w:r>
              <w:rPr>
                <w:rFonts w:ascii="Times New Roman" w:hAnsi="Times New Roman" w:eastAsia="仿宋_GB2312" w:cs="Times New Roman"/>
                <w:color w:val="auto"/>
                <w:szCs w:val="21"/>
              </w:rPr>
              <w:t xml:space="preserve">0.10 </w:t>
            </w:r>
          </w:p>
        </w:tc>
      </w:tr>
    </w:tbl>
    <w:p w14:paraId="6E3DCB43">
      <w:pPr>
        <w:pStyle w:val="2"/>
        <w:spacing w:line="440" w:lineRule="exact"/>
        <w:rPr>
          <w:rFonts w:hint="eastAsia" w:eastAsia="仿宋_GB2312"/>
          <w:highlight w:val="none"/>
        </w:rPr>
      </w:pPr>
      <w:r>
        <w:rPr>
          <w:rFonts w:hint="eastAsia" w:eastAsia="仿宋_GB2312"/>
          <w:bCs/>
          <w:sz w:val="28"/>
          <w:szCs w:val="28"/>
          <w:highlight w:val="none"/>
        </w:rPr>
        <w:t>注：无地上主用途的地下仓储（及其他）和地下车库，适用基准地价办公类。</w:t>
      </w:r>
    </w:p>
    <w:p w14:paraId="1A09D594">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十一</w:t>
      </w:r>
      <w:r>
        <w:rPr>
          <w:rFonts w:hint="eastAsia" w:ascii="仿宋_GB2312" w:hAnsi="宋体" w:eastAsia="仿宋_GB2312"/>
          <w:sz w:val="32"/>
          <w:szCs w:val="32"/>
          <w:highlight w:val="none"/>
        </w:rPr>
        <w:t>条  受让人应在本合同规定的付款期限内，向税务部门申报并缴纳出让价款。</w:t>
      </w:r>
    </w:p>
    <w:p w14:paraId="48570F4A">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条　受让人在本宗地开工、竣工时，应及时向地块所在区规划和自然资源分局书面申报该宗地的开发利用情况。</w:t>
      </w:r>
    </w:p>
    <w:p w14:paraId="2CBC607E">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三</w:t>
      </w:r>
      <w:r>
        <w:rPr>
          <w:rFonts w:hint="eastAsia" w:ascii="仿宋_GB2312" w:hAnsi="宋体" w:eastAsia="仿宋_GB2312"/>
          <w:sz w:val="32"/>
          <w:szCs w:val="32"/>
          <w:highlight w:val="none"/>
        </w:rPr>
        <w:t xml:space="preserve">条 </w:t>
      </w:r>
      <w:r>
        <w:rPr>
          <w:rFonts w:hint="eastAsia" w:ascii="仿宋_GB2312" w:eastAsia="仿宋_GB2312"/>
          <w:spacing w:val="-16"/>
          <w:sz w:val="32"/>
          <w:szCs w:val="32"/>
          <w:highlight w:val="none"/>
        </w:rPr>
        <w:t>在出让期限内，出让人依法对出让宗地范围内的土地使用情况进行监督，受让人不得拒绝和阻挠</w:t>
      </w:r>
      <w:r>
        <w:rPr>
          <w:rFonts w:hint="eastAsia" w:ascii="仿宋_GB2312" w:hAnsi="宋体" w:eastAsia="仿宋_GB2312"/>
          <w:sz w:val="32"/>
          <w:szCs w:val="32"/>
          <w:highlight w:val="none"/>
        </w:rPr>
        <w:t>。</w:t>
      </w:r>
    </w:p>
    <w:p w14:paraId="49D506A0">
      <w:pPr>
        <w:spacing w:line="540" w:lineRule="exact"/>
        <w:ind w:firstLine="64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第十</w:t>
      </w:r>
      <w:r>
        <w:rPr>
          <w:rFonts w:hint="eastAsia" w:ascii="仿宋_GB2312" w:hAnsi="宋体" w:eastAsia="仿宋_GB2312" w:cs="仿宋_GB2312"/>
          <w:kern w:val="0"/>
          <w:sz w:val="32"/>
          <w:szCs w:val="32"/>
          <w:highlight w:val="none"/>
          <w:lang w:eastAsia="zh-CN"/>
        </w:rPr>
        <w:t>四</w:t>
      </w:r>
      <w:r>
        <w:rPr>
          <w:rFonts w:hint="eastAsia" w:ascii="仿宋_GB2312" w:hAnsi="宋体" w:eastAsia="仿宋_GB2312" w:cs="仿宋_GB2312"/>
          <w:kern w:val="0"/>
          <w:sz w:val="32"/>
          <w:szCs w:val="32"/>
          <w:highlight w:val="none"/>
        </w:rPr>
        <w:t xml:space="preserve">条 </w:t>
      </w:r>
      <w:r>
        <w:rPr>
          <w:rFonts w:hint="eastAsia" w:ascii="仿宋_GB2312" w:eastAsia="仿宋_GB2312"/>
          <w:sz w:val="32"/>
          <w:szCs w:val="32"/>
          <w:highlight w:val="none"/>
        </w:rPr>
        <w:t>受让人</w:t>
      </w:r>
      <w:r>
        <w:rPr>
          <w:rFonts w:hint="eastAsia" w:ascii="仿宋_GB2312" w:eastAsia="仿宋_GB2312" w:cs="Times New Roman"/>
          <w:sz w:val="32"/>
          <w:szCs w:val="32"/>
          <w:highlight w:val="none"/>
        </w:rPr>
        <w:t>同意严格执行《北京市土壤污染防治工作方案》（京政发〔2016〕63号）相关规定。</w:t>
      </w:r>
    </w:p>
    <w:p w14:paraId="49F13A49">
      <w:pPr>
        <w:spacing w:line="540" w:lineRule="exact"/>
        <w:ind w:firstLine="640" w:firstLineChars="200"/>
        <w:rPr>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五</w:t>
      </w:r>
      <w:r>
        <w:rPr>
          <w:rFonts w:hint="eastAsia" w:ascii="仿宋_GB2312" w:hAnsi="宋体" w:eastAsia="仿宋_GB2312"/>
          <w:sz w:val="32"/>
          <w:szCs w:val="32"/>
          <w:highlight w:val="none"/>
        </w:rPr>
        <w:t xml:space="preserve">条  </w:t>
      </w:r>
      <w:r>
        <w:rPr>
          <w:rFonts w:hint="eastAsia" w:ascii="仿宋_GB2312" w:hAnsi="宋体" w:eastAsia="仿宋_GB2312"/>
          <w:color w:val="000000"/>
          <w:sz w:val="32"/>
          <w:szCs w:val="32"/>
          <w:highlight w:val="none"/>
        </w:rPr>
        <w:t>本项目应按照《关于进一步加强房地产开发企业工程建设质量安全管理工作的通知》（京建法[2016]2号</w:t>
      </w:r>
      <w:r>
        <w:rPr>
          <w:rFonts w:hint="eastAsia" w:ascii="仿宋_GB2312" w:hAnsi="宋体" w:eastAsia="仿宋_GB2312"/>
          <w:color w:val="000000"/>
          <w:sz w:val="32"/>
          <w:szCs w:val="32"/>
          <w:highlight w:val="none"/>
        </w:rPr>
        <w:t>）、《关于进一步加强商业、办公类项目管理的公告》（京建发[2017]第112号）</w:t>
      </w:r>
      <w:r>
        <w:rPr>
          <w:rFonts w:hint="eastAsia" w:ascii="仿宋_GB2312" w:hAnsi="宋体" w:eastAsia="仿宋_GB2312"/>
          <w:color w:val="000000"/>
          <w:sz w:val="32"/>
          <w:szCs w:val="32"/>
          <w:highlight w:val="none"/>
        </w:rPr>
        <w:t>、《关于严格商业、办公类项目规划建设行政审批的通知》（京建发[2017]第147号）</w:t>
      </w:r>
      <w:r>
        <w:rPr>
          <w:rFonts w:hint="eastAsia" w:ascii="仿宋_GB2312" w:hAnsi="宋体" w:eastAsia="仿宋_GB2312"/>
          <w:color w:val="000000"/>
          <w:sz w:val="32"/>
          <w:szCs w:val="32"/>
          <w:highlight w:val="none"/>
        </w:rPr>
        <w:t>、《关于进一步加强产业项目管理的通知》（市规划国土发[2017]第121号）、《北京市住宅工程质量潜在缺陷保险暂行管理办法》（京政办发[2019]11号）</w:t>
      </w:r>
      <w:r>
        <w:rPr>
          <w:rFonts w:hint="eastAsia" w:ascii="仿宋_GB2312" w:hAnsi="宋体" w:eastAsia="仿宋_GB2312"/>
          <w:color w:val="000000"/>
          <w:sz w:val="32"/>
          <w:szCs w:val="32"/>
          <w:highlight w:val="none"/>
        </w:rPr>
        <w:t>、《北京市人民政府关于进一步提升首都邮政普遍服务水平的意见》（京政发[2011]4号）、《关于印发〈北京市新建商品住宅小区住宅与市政公用基础设施、公共服务设施同步交付使用管理暂行办法〉的通知》（京建法[2007]99号）</w:t>
      </w:r>
      <w:r>
        <w:rPr>
          <w:rFonts w:hint="eastAsia" w:ascii="仿宋_GB2312" w:hAnsi="宋体" w:eastAsia="仿宋_GB2312"/>
          <w:color w:val="000000"/>
          <w:sz w:val="32"/>
          <w:szCs w:val="32"/>
          <w:highlight w:val="none"/>
        </w:rPr>
        <w:t>及《北京市政府办公厅转发市教委等部门关于加强本市居住区配套教育设施规划管理意见的通知》（京政办发[2013]44号）、《北京市新增产业的禁止和限制目录》</w:t>
      </w:r>
      <w:r>
        <w:rPr>
          <w:rFonts w:hint="eastAsia" w:ascii="仿宋_GB2312" w:hAnsi="宋体" w:eastAsia="仿宋_GB2312"/>
          <w:color w:val="000000"/>
          <w:sz w:val="32"/>
          <w:szCs w:val="32"/>
          <w:highlight w:val="none"/>
        </w:rPr>
        <w:t>文件的有关规定执行。</w:t>
      </w:r>
      <w:r>
        <w:rPr>
          <w:rFonts w:hint="eastAsia" w:ascii="仿宋_GB2312" w:hAnsi="宋体" w:eastAsia="仿宋_GB2312"/>
          <w:sz w:val="32"/>
          <w:szCs w:val="32"/>
          <w:highlight w:val="none"/>
        </w:rPr>
        <w:t xml:space="preserve"> </w:t>
      </w:r>
    </w:p>
    <w:p w14:paraId="290B4208">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六</w:t>
      </w:r>
      <w:r>
        <w:rPr>
          <w:rFonts w:hint="eastAsia" w:ascii="仿宋_GB2312" w:hAnsi="宋体" w:eastAsia="仿宋_GB2312"/>
          <w:sz w:val="32"/>
          <w:szCs w:val="32"/>
          <w:highlight w:val="none"/>
        </w:rPr>
        <w:t xml:space="preserve">条 </w:t>
      </w:r>
      <w:r>
        <w:rPr>
          <w:rFonts w:hint="default" w:ascii="仿宋_GB2312" w:hAnsi="宋体" w:eastAsia="仿宋_GB2312"/>
          <w:color w:val="000000"/>
          <w:sz w:val="32"/>
          <w:szCs w:val="32"/>
          <w:highlight w:val="none"/>
        </w:rPr>
        <w:t>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为联合体的</w:t>
      </w:r>
      <w:r>
        <w:rPr>
          <w:rFonts w:hint="eastAsia" w:ascii="仿宋_GB2312" w:hAnsi="宋体" w:eastAsia="仿宋_GB2312"/>
          <w:color w:val="000000"/>
          <w:sz w:val="32"/>
          <w:szCs w:val="32"/>
          <w:highlight w:val="none"/>
          <w:lang w:eastAsia="zh-CN"/>
        </w:rPr>
        <w:t>，</w:t>
      </w:r>
      <w:r>
        <w:rPr>
          <w:rFonts w:hint="default" w:ascii="仿宋_GB2312" w:hAnsi="宋体" w:eastAsia="仿宋_GB2312"/>
          <w:color w:val="000000"/>
          <w:sz w:val="32"/>
          <w:szCs w:val="32"/>
          <w:highlight w:val="none"/>
        </w:rPr>
        <w:t>应成立能够独立承担责任的项目公司，进行该出让宗地的开发建设，并按照有关规定申请相应的房地产开发建设资质；若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为房地产开发企业</w:t>
      </w:r>
      <w:r>
        <w:rPr>
          <w:rFonts w:hint="eastAsia" w:ascii="仿宋_GB2312" w:hAnsi="宋体" w:eastAsia="仿宋_GB2312"/>
          <w:color w:val="000000"/>
          <w:sz w:val="32"/>
          <w:szCs w:val="32"/>
          <w:highlight w:val="none"/>
          <w:lang w:eastAsia="zh-CN"/>
        </w:rPr>
        <w:t>的</w:t>
      </w:r>
      <w:r>
        <w:rPr>
          <w:rFonts w:hint="default" w:ascii="仿宋_GB2312" w:hAnsi="宋体" w:eastAsia="仿宋_GB2312"/>
          <w:color w:val="000000"/>
          <w:sz w:val="32"/>
          <w:szCs w:val="32"/>
          <w:highlight w:val="none"/>
        </w:rPr>
        <w:t>，可使用项目公司进行开发建设。</w:t>
      </w:r>
    </w:p>
    <w:p w14:paraId="31532DA6">
      <w:pPr>
        <w:spacing w:line="540" w:lineRule="exact"/>
        <w:ind w:firstLine="640" w:firstLineChars="200"/>
        <w:rPr>
          <w:rFonts w:hint="default" w:ascii="仿宋_GB2312" w:hAnsi="宋体" w:eastAsia="仿宋_GB2312"/>
          <w:color w:val="000000"/>
          <w:sz w:val="32"/>
          <w:szCs w:val="32"/>
          <w:highlight w:val="none"/>
        </w:rPr>
      </w:pP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成立的项目公司须满足以下条款：</w:t>
      </w:r>
    </w:p>
    <w:p w14:paraId="199E37C5">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（一）须为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的全资子公司；若</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为联合体，则必须按照联合竞买协议中约定的联合体成员各自的出资比例成立新公司。</w:t>
      </w:r>
    </w:p>
    <w:p w14:paraId="3D2C2BCE">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（二）</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须对变更后的受让人承担连带责任。</w:t>
      </w:r>
    </w:p>
    <w:p w14:paraId="1E228F71">
      <w:pPr>
        <w:spacing w:line="540" w:lineRule="exact"/>
        <w:ind w:firstLine="640" w:firstLineChars="200"/>
        <w:rPr>
          <w:rFonts w:hint="default" w:ascii="仿宋_GB2312" w:hAnsi="宋体" w:eastAsia="仿宋_GB2312"/>
          <w:color w:val="000000"/>
          <w:sz w:val="32"/>
          <w:szCs w:val="32"/>
          <w:highlight w:val="none"/>
        </w:rPr>
      </w:pPr>
      <w:r>
        <w:rPr>
          <w:rFonts w:hint="default" w:ascii="仿宋_GB2312" w:hAnsi="宋体" w:eastAsia="仿宋_GB2312"/>
          <w:color w:val="000000"/>
          <w:sz w:val="32"/>
          <w:szCs w:val="32"/>
          <w:highlight w:val="none"/>
        </w:rPr>
        <w:t>（三）须按照有关规定申请相应的开发建设资质。</w:t>
      </w:r>
    </w:p>
    <w:p w14:paraId="01412EC1">
      <w:pPr>
        <w:spacing w:line="540" w:lineRule="exact"/>
        <w:ind w:firstLine="640" w:firstLineChars="200"/>
        <w:rPr>
          <w:highlight w:val="none"/>
        </w:rPr>
      </w:pPr>
      <w:r>
        <w:rPr>
          <w:rFonts w:hint="default" w:ascii="仿宋_GB2312" w:hAnsi="宋体" w:eastAsia="仿宋_GB2312"/>
          <w:color w:val="000000"/>
          <w:sz w:val="32"/>
          <w:szCs w:val="32"/>
          <w:highlight w:val="none"/>
        </w:rPr>
        <w:t>若开发建设的出让宗地为</w:t>
      </w:r>
      <w:r>
        <w:rPr>
          <w:rFonts w:hint="eastAsia" w:ascii="仿宋_GB2312" w:hAnsi="宋体" w:eastAsia="仿宋_GB2312"/>
          <w:color w:val="000000"/>
          <w:sz w:val="32"/>
          <w:szCs w:val="32"/>
          <w:highlight w:val="none"/>
          <w:lang w:eastAsia="zh-CN"/>
        </w:rPr>
        <w:t>受让人</w:t>
      </w:r>
      <w:r>
        <w:rPr>
          <w:rFonts w:hint="default" w:ascii="仿宋_GB2312" w:hAnsi="宋体" w:eastAsia="仿宋_GB2312"/>
          <w:color w:val="000000"/>
          <w:sz w:val="32"/>
          <w:szCs w:val="32"/>
          <w:highlight w:val="none"/>
        </w:rPr>
        <w:t>自用，则不允许转让或对外销售。</w:t>
      </w:r>
    </w:p>
    <w:p w14:paraId="07DD43F9">
      <w:pPr>
        <w:numPr>
          <w:ilvl w:val="0"/>
          <w:numId w:val="4"/>
        </w:num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cs="仿宋_GB2312"/>
          <w:kern w:val="0"/>
          <w:sz w:val="32"/>
          <w:szCs w:val="32"/>
          <w:highlight w:val="none"/>
        </w:rPr>
        <w:t>若受让人为外资企业，除须如期缴纳成交价款</w:t>
      </w:r>
      <w:r>
        <w:rPr>
          <w:rFonts w:hint="eastAsia" w:ascii="仿宋_GB2312" w:hAnsi="宋体" w:eastAsia="仿宋_GB2312"/>
          <w:sz w:val="32"/>
          <w:szCs w:val="32"/>
          <w:highlight w:val="none"/>
        </w:rPr>
        <w:t>外，还需按照《外商投资产业指导目录（2007修订）</w:t>
      </w:r>
      <w:r>
        <w:rPr>
          <w:rFonts w:hint="eastAsia" w:ascii="仿宋_GB2312" w:hAnsi="宋体" w:eastAsia="仿宋_GB2312"/>
          <w:sz w:val="32"/>
          <w:szCs w:val="32"/>
          <w:highlight w:val="none"/>
        </w:rPr>
        <w:t>》、《关于进一步加强和规范外商投资项目管理的通知》（发改外资〔2008〕1773号）、《北京市外商投资项目核准暂行实施办法》文件规定办理后期立项手续。</w:t>
      </w:r>
    </w:p>
    <w:p w14:paraId="4E305D7C">
      <w:pPr>
        <w:spacing w:line="54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第十</w:t>
      </w:r>
      <w:r>
        <w:rPr>
          <w:rFonts w:hint="eastAsia" w:ascii="仿宋_GB2312" w:hAnsi="宋体" w:eastAsia="仿宋_GB2312"/>
          <w:sz w:val="32"/>
          <w:szCs w:val="32"/>
          <w:highlight w:val="none"/>
          <w:lang w:eastAsia="zh-CN"/>
        </w:rPr>
        <w:t>八条</w:t>
      </w:r>
      <w:r>
        <w:rPr>
          <w:rFonts w:hint="eastAsia" w:ascii="仿宋_GB2312" w:hAnsi="宋体" w:eastAsia="仿宋_GB2312" w:cs="仿宋_GB2312"/>
          <w:kern w:val="0"/>
          <w:sz w:val="32"/>
          <w:szCs w:val="32"/>
          <w:highlight w:val="none"/>
        </w:rPr>
        <w:t xml:space="preserve"> 按照属地管理原则，由</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承担本出让合同的具体后期监管工作。</w:t>
      </w:r>
    </w:p>
    <w:p w14:paraId="2868B2AD">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受让人应当积极配合</w:t>
      </w: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做好本出让合同的后期监管工作，并出具授权委托书委托两名相关人员负责该项工作。相关人员因工作调整等原因不能继续配合后期监管工作的，受让人应当于5日内另行委托他人，并重新向出让人出具授权委托书。</w:t>
      </w:r>
    </w:p>
    <w:p w14:paraId="42DA94F1">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sz w:val="32"/>
          <w:szCs w:val="32"/>
          <w:highlight w:val="none"/>
        </w:rPr>
        <w:t>所在区</w:t>
      </w:r>
      <w:r>
        <w:rPr>
          <w:rFonts w:hint="eastAsia" w:ascii="仿宋_GB2312" w:hAnsi="宋体" w:eastAsia="仿宋_GB2312"/>
          <w:color w:val="000000"/>
          <w:sz w:val="32"/>
          <w:szCs w:val="32"/>
          <w:highlight w:val="none"/>
        </w:rPr>
        <w:t>规划和自然资源</w:t>
      </w:r>
      <w:r>
        <w:rPr>
          <w:rFonts w:hint="eastAsia" w:ascii="仿宋_GB2312" w:hAnsi="宋体" w:eastAsia="仿宋_GB2312"/>
          <w:sz w:val="32"/>
          <w:szCs w:val="32"/>
          <w:highlight w:val="none"/>
        </w:rPr>
        <w:t>分局</w:t>
      </w:r>
      <w:r>
        <w:rPr>
          <w:rFonts w:hint="eastAsia" w:ascii="仿宋_GB2312" w:hAnsi="宋体" w:eastAsia="仿宋_GB2312" w:cs="仿宋_GB2312"/>
          <w:kern w:val="0"/>
          <w:sz w:val="32"/>
          <w:szCs w:val="32"/>
          <w:highlight w:val="none"/>
        </w:rPr>
        <w:t>将按照法定程序开展后期监管工作。因受让人原因致使后期监管工作不能顺利推进的，相应法律责任由受让人承担。</w:t>
      </w:r>
    </w:p>
    <w:p w14:paraId="67750288">
      <w:pPr>
        <w:spacing w:line="500" w:lineRule="exact"/>
        <w:ind w:firstLine="640" w:firstLineChars="200"/>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rPr>
        <w:t>第</w:t>
      </w:r>
      <w:r>
        <w:rPr>
          <w:rFonts w:hint="eastAsia" w:ascii="仿宋_GB2312" w:hAnsi="宋体" w:eastAsia="仿宋_GB2312" w:cs="仿宋_GB2312"/>
          <w:kern w:val="0"/>
          <w:sz w:val="32"/>
          <w:szCs w:val="32"/>
          <w:highlight w:val="none"/>
          <w:lang w:eastAsia="zh-CN"/>
        </w:rPr>
        <w:t>十九</w:t>
      </w:r>
      <w:r>
        <w:rPr>
          <w:rFonts w:hint="eastAsia" w:ascii="仿宋_GB2312" w:hAnsi="宋体" w:eastAsia="仿宋_GB2312" w:cs="仿宋_GB2312"/>
          <w:kern w:val="0"/>
          <w:sz w:val="32"/>
          <w:szCs w:val="32"/>
          <w:highlight w:val="none"/>
        </w:rPr>
        <w:t xml:space="preserve">条 </w:t>
      </w:r>
      <w:r>
        <w:rPr>
          <w:rFonts w:hint="eastAsia" w:ascii="仿宋_GB2312" w:hAnsi="宋体" w:eastAsia="仿宋_GB2312"/>
          <w:sz w:val="32"/>
          <w:szCs w:val="32"/>
          <w:highlight w:val="none"/>
        </w:rPr>
        <w:t>本项目其他要求应按照挂牌文件相关内容执行</w:t>
      </w:r>
      <w:r>
        <w:rPr>
          <w:rFonts w:hint="eastAsia" w:ascii="仿宋_GB2312" w:hAnsi="宋体" w:eastAsia="仿宋_GB2312" w:cs="仿宋_GB2312"/>
          <w:kern w:val="0"/>
          <w:sz w:val="32"/>
          <w:szCs w:val="32"/>
          <w:highlight w:val="none"/>
        </w:rPr>
        <w:t>。</w:t>
      </w:r>
    </w:p>
    <w:p w14:paraId="472D99C7">
      <w:pPr>
        <w:spacing w:line="54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第</w:t>
      </w:r>
      <w:r>
        <w:rPr>
          <w:rFonts w:hint="eastAsia" w:ascii="仿宋_GB2312" w:hAnsi="宋体" w:eastAsia="仿宋_GB2312"/>
          <w:sz w:val="32"/>
          <w:szCs w:val="32"/>
          <w:highlight w:val="none"/>
          <w:lang w:eastAsia="zh-CN"/>
        </w:rPr>
        <w:t>二</w:t>
      </w:r>
      <w:r>
        <w:rPr>
          <w:rFonts w:hint="eastAsia" w:ascii="仿宋_GB2312" w:hAnsi="宋体" w:eastAsia="仿宋_GB2312" w:cs="仿宋_GB2312"/>
          <w:kern w:val="0"/>
          <w:sz w:val="32"/>
          <w:szCs w:val="32"/>
          <w:highlight w:val="none"/>
        </w:rPr>
        <w:t>十</w:t>
      </w:r>
      <w:r>
        <w:rPr>
          <w:rFonts w:hint="eastAsia" w:ascii="仿宋_GB2312" w:hAnsi="宋体" w:eastAsia="仿宋_GB2312"/>
          <w:sz w:val="32"/>
          <w:szCs w:val="32"/>
          <w:highlight w:val="none"/>
        </w:rPr>
        <w:t>条 本补充协议为出让合同的附件，是出让合同不可分割的一部分，如本补充协议内容与本合同内容存在差异，以本补充协议内容为准。</w:t>
      </w:r>
    </w:p>
    <w:p w14:paraId="77DC80BB">
      <w:pPr>
        <w:tabs>
          <w:tab w:val="right" w:pos="8640"/>
        </w:tabs>
        <w:spacing w:line="440" w:lineRule="exact"/>
        <w:rPr>
          <w:rFonts w:hint="eastAsia" w:ascii="仿宋_GB2312" w:hAnsi="宋体" w:eastAsia="仿宋_GB2312"/>
          <w:sz w:val="32"/>
          <w:szCs w:val="32"/>
          <w:highlight w:val="none"/>
        </w:rPr>
      </w:pPr>
    </w:p>
    <w:p w14:paraId="42C51363">
      <w:pPr>
        <w:pStyle w:val="5"/>
        <w:ind w:firstLine="0" w:firstLineChars="0"/>
        <w:rPr>
          <w:rFonts w:hint="eastAsia"/>
          <w:highlight w:val="none"/>
        </w:rPr>
      </w:pPr>
    </w:p>
    <w:p w14:paraId="33452B62">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 xml:space="preserve">出让人：北京市规划和自然资源委员会（盖章） </w:t>
      </w:r>
    </w:p>
    <w:p w14:paraId="60DBD3B5">
      <w:pPr>
        <w:pStyle w:val="5"/>
        <w:ind w:firstLine="0" w:firstLineChars="0"/>
        <w:rPr>
          <w:rFonts w:hint="eastAsia" w:ascii="仿宋_GB2312" w:hAnsi="宋体" w:eastAsia="仿宋_GB2312"/>
          <w:sz w:val="32"/>
          <w:szCs w:val="32"/>
          <w:highlight w:val="none"/>
          <w:lang w:eastAsia="zh-CN"/>
        </w:rPr>
      </w:pPr>
    </w:p>
    <w:p w14:paraId="10D83C64">
      <w:pPr>
        <w:pStyle w:val="5"/>
        <w:ind w:firstLine="0" w:firstLineChars="0"/>
        <w:rPr>
          <w:rFonts w:hint="eastAsia" w:ascii="仿宋_GB2312" w:hAnsi="宋体" w:eastAsia="仿宋_GB2312"/>
          <w:sz w:val="32"/>
          <w:szCs w:val="32"/>
          <w:highlight w:val="none"/>
          <w:lang w:eastAsia="zh-CN"/>
        </w:rPr>
      </w:pPr>
    </w:p>
    <w:p w14:paraId="7CA30D1D">
      <w:pPr>
        <w:pStyle w:val="5"/>
        <w:ind w:firstLine="0" w:firstLineChars="0"/>
        <w:rPr>
          <w:rFonts w:hint="eastAsia" w:ascii="仿宋_GB2312" w:hAnsi="宋体" w:eastAsia="仿宋_GB2312"/>
          <w:sz w:val="32"/>
          <w:szCs w:val="32"/>
          <w:highlight w:val="none"/>
        </w:rPr>
      </w:pPr>
    </w:p>
    <w:p w14:paraId="2BDBCD98">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rPr>
        <w:t>受让人：</w:t>
      </w: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（盖章）　　  </w:t>
      </w:r>
    </w:p>
    <w:p w14:paraId="564FF153">
      <w:pPr>
        <w:spacing w:line="440" w:lineRule="exact"/>
        <w:ind w:left="0" w:right="-136" w:firstLine="0" w:firstLineChars="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 xml:space="preserve">                                </w:t>
      </w:r>
      <w:r>
        <w:rPr>
          <w:rFonts w:hint="eastAsia" w:ascii="仿宋_GB2312" w:hAnsi="宋体" w:eastAsia="仿宋_GB2312"/>
          <w:sz w:val="32"/>
          <w:szCs w:val="32"/>
          <w:highlight w:val="none"/>
        </w:rPr>
        <w:t xml:space="preserve"> </w:t>
      </w:r>
    </w:p>
    <w:p w14:paraId="5BC7FBFB">
      <w:pPr>
        <w:pStyle w:val="4"/>
        <w:rPr>
          <w:rFonts w:hint="eastAsia"/>
          <w:lang w:eastAsia="zh-CN"/>
        </w:rPr>
      </w:pPr>
    </w:p>
    <w:p w14:paraId="2E95BD68">
      <w:pPr>
        <w:pStyle w:val="4"/>
        <w:rPr>
          <w:rFonts w:hint="eastAsia"/>
          <w:lang w:eastAsia="zh-CN"/>
        </w:rPr>
      </w:pPr>
    </w:p>
    <w:p w14:paraId="4512E48C">
      <w:pPr>
        <w:spacing w:line="440" w:lineRule="exact"/>
        <w:ind w:left="0" w:right="-136" w:firstLine="5120" w:firstLineChars="1600"/>
        <w:rPr>
          <w:rFonts w:hint="eastAsia" w:ascii="仿宋_GB2312" w:hAnsi="宋体" w:eastAsia="仿宋_GB2312" w:cs="仿宋_GB2312"/>
          <w:color w:val="auto"/>
          <w:kern w:val="0"/>
          <w:sz w:val="32"/>
          <w:szCs w:val="32"/>
          <w:highlight w:val="none"/>
        </w:rPr>
      </w:pPr>
      <w:r>
        <w:rPr>
          <w:rFonts w:hint="eastAsia" w:ascii="仿宋_GB2312" w:hAnsi="宋体" w:eastAsia="仿宋_GB2312"/>
          <w:sz w:val="32"/>
          <w:szCs w:val="32"/>
          <w:highlight w:val="none"/>
        </w:rPr>
        <w:t xml:space="preserve"> 年　   月　   日</w:t>
      </w:r>
    </w:p>
    <w:p w14:paraId="551EA538">
      <w:pPr>
        <w:rPr>
          <w:rFonts w:hint="eastAsia"/>
          <w:color w:val="auto"/>
        </w:rPr>
      </w:pPr>
    </w:p>
    <w:p w14:paraId="463DB5CC">
      <w:pPr>
        <w:rPr>
          <w:highlight w:val="none"/>
        </w:rPr>
      </w:pPr>
    </w:p>
    <w:sectPr>
      <w:footerReference r:id="rId3" w:type="default"/>
      <w:footerReference r:id="rId4" w:type="even"/>
      <w:pgSz w:w="11906" w:h="16838"/>
      <w:pgMar w:top="1701" w:right="1701" w:bottom="1871" w:left="1701" w:header="851" w:footer="1474"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Gothic">
    <w:panose1 w:val="020B0609070205080204"/>
    <w:charset w:val="80"/>
    <w:family w:val="modern"/>
    <w:pitch w:val="default"/>
    <w:sig w:usb0="E00002FF" w:usb1="6AC7FDFB" w:usb2="00000012" w:usb3="00000000" w:csb0="4002009F" w:csb1="DFD7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汉仪大黑简">
    <w:altName w:val="宋体"/>
    <w:panose1 w:val="02010609000101010101"/>
    <w:charset w:val="00"/>
    <w:family w:val="modern"/>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3000509000000000000"/>
    <w:charset w:val="00"/>
    <w:family w:val="script"/>
    <w:pitch w:val="default"/>
    <w:sig w:usb0="00000000" w:usb1="00000000" w:usb2="0000001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98C18">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37217526">
    <w:pPr>
      <w:pStyle w:val="4"/>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AB6B">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679AED15">
    <w:pPr>
      <w:pStyle w:val="4"/>
      <w:ind w:right="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19AC"/>
    <w:multiLevelType w:val="singleLevel"/>
    <w:tmpl w:val="A7FF19AC"/>
    <w:lvl w:ilvl="0" w:tentative="0">
      <w:start w:val="9"/>
      <w:numFmt w:val="chineseCounting"/>
      <w:suff w:val="space"/>
      <w:lvlText w:val="第%1章"/>
      <w:lvlJc w:val="left"/>
      <w:rPr>
        <w:rFonts w:hint="eastAsia"/>
      </w:rPr>
    </w:lvl>
  </w:abstractNum>
  <w:abstractNum w:abstractNumId="1">
    <w:nsid w:val="F0629422"/>
    <w:multiLevelType w:val="singleLevel"/>
    <w:tmpl w:val="F0629422"/>
    <w:lvl w:ilvl="0" w:tentative="0">
      <w:start w:val="1"/>
      <w:numFmt w:val="chineseCounting"/>
      <w:suff w:val="nothing"/>
      <w:lvlText w:val="（%1）"/>
      <w:lvlJc w:val="left"/>
      <w:rPr>
        <w:rFonts w:hint="eastAsia"/>
      </w:rPr>
    </w:lvl>
  </w:abstractNum>
  <w:abstractNum w:abstractNumId="2">
    <w:nsid w:val="F7E3F513"/>
    <w:multiLevelType w:val="singleLevel"/>
    <w:tmpl w:val="F7E3F513"/>
    <w:lvl w:ilvl="0" w:tentative="0">
      <w:start w:val="7"/>
      <w:numFmt w:val="chineseCounting"/>
      <w:suff w:val="nothing"/>
      <w:lvlText w:val="第%1条　"/>
      <w:lvlJc w:val="left"/>
      <w:rPr>
        <w:rFonts w:hint="eastAsia"/>
      </w:rPr>
    </w:lvl>
  </w:abstractNum>
  <w:abstractNum w:abstractNumId="3">
    <w:nsid w:val="58A373D8"/>
    <w:multiLevelType w:val="singleLevel"/>
    <w:tmpl w:val="58A373D8"/>
    <w:lvl w:ilvl="0" w:tentative="0">
      <w:start w:val="17"/>
      <w:numFmt w:val="chineseCounting"/>
      <w:suff w:val="space"/>
      <w:lvlText w:val="第%1条"/>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B7A986"/>
    <w:rsid w:val="0E3E41EC"/>
    <w:rsid w:val="1FDE5CF2"/>
    <w:rsid w:val="1FF9A5C4"/>
    <w:rsid w:val="228E3C87"/>
    <w:rsid w:val="2EB48A0F"/>
    <w:rsid w:val="35FEF5E3"/>
    <w:rsid w:val="3BDDDC7C"/>
    <w:rsid w:val="3F4FDDF7"/>
    <w:rsid w:val="4DC8361B"/>
    <w:rsid w:val="4FE56609"/>
    <w:rsid w:val="58F33A58"/>
    <w:rsid w:val="59EFF7CF"/>
    <w:rsid w:val="5BD90025"/>
    <w:rsid w:val="5BFE5089"/>
    <w:rsid w:val="5BFFBF1B"/>
    <w:rsid w:val="5F6F4A45"/>
    <w:rsid w:val="66FE2DC5"/>
    <w:rsid w:val="66FF8293"/>
    <w:rsid w:val="67BEF36F"/>
    <w:rsid w:val="6E6FC279"/>
    <w:rsid w:val="7043591A"/>
    <w:rsid w:val="73274E21"/>
    <w:rsid w:val="73683831"/>
    <w:rsid w:val="73777376"/>
    <w:rsid w:val="747E3B4C"/>
    <w:rsid w:val="7AFB3FED"/>
    <w:rsid w:val="7BAFB444"/>
    <w:rsid w:val="7CF8AC70"/>
    <w:rsid w:val="7F6B2B8A"/>
    <w:rsid w:val="7F6E74A1"/>
    <w:rsid w:val="7F7F708B"/>
    <w:rsid w:val="7F7FBFB0"/>
    <w:rsid w:val="7FBE9523"/>
    <w:rsid w:val="A57BCB8C"/>
    <w:rsid w:val="BF2D8043"/>
    <w:rsid w:val="BF6E3882"/>
    <w:rsid w:val="BF7F9004"/>
    <w:rsid w:val="D7394333"/>
    <w:rsid w:val="D7E7A726"/>
    <w:rsid w:val="DB57098D"/>
    <w:rsid w:val="DFBB06DA"/>
    <w:rsid w:val="E73FFC34"/>
    <w:rsid w:val="EFB3F30E"/>
    <w:rsid w:val="F33F94D3"/>
    <w:rsid w:val="F3B7A986"/>
    <w:rsid w:val="F3F92BA0"/>
    <w:rsid w:val="F3FCF01F"/>
    <w:rsid w:val="F9FC92E8"/>
    <w:rsid w:val="FBFE40DF"/>
    <w:rsid w:val="FBFEF848"/>
    <w:rsid w:val="FCFB4560"/>
    <w:rsid w:val="FCFFA684"/>
    <w:rsid w:val="FDFF10D6"/>
    <w:rsid w:val="FDFFFED6"/>
    <w:rsid w:val="FEFE21EB"/>
    <w:rsid w:val="FF27E647"/>
    <w:rsid w:val="FF5AA052"/>
    <w:rsid w:val="FF7BD4BD"/>
    <w:rsid w:val="FFFE498A"/>
    <w:rsid w:val="FFFFC4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MS Gothic" w:cs="MS Gothic"/>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Cs w:val="24"/>
    </w:rPr>
  </w:style>
  <w:style w:type="paragraph" w:styleId="3">
    <w:name w:val="Body Text Indent"/>
    <w:basedOn w:val="1"/>
    <w:qFormat/>
    <w:uiPriority w:val="0"/>
    <w:pPr>
      <w:ind w:firstLine="422" w:firstLineChars="200"/>
    </w:pPr>
    <w:rPr>
      <w:rFonts w:eastAsia="宋体"/>
      <w:b/>
      <w:szCs w:val="20"/>
    </w:rPr>
  </w:style>
  <w:style w:type="paragraph" w:styleId="4">
    <w:name w:val="footer"/>
    <w:basedOn w:val="1"/>
    <w:next w:val="1"/>
    <w:unhideWhenUsed/>
    <w:qFormat/>
    <w:uiPriority w:val="0"/>
    <w:pPr>
      <w:tabs>
        <w:tab w:val="center" w:pos="4153"/>
        <w:tab w:val="right" w:pos="8306"/>
      </w:tabs>
      <w:snapToGrid w:val="0"/>
      <w:jc w:val="left"/>
    </w:pPr>
    <w:rPr>
      <w:sz w:val="18"/>
      <w:szCs w:val="18"/>
    </w:rPr>
  </w:style>
  <w:style w:type="paragraph" w:styleId="5">
    <w:name w:val="Body Text First Indent 2"/>
    <w:basedOn w:val="3"/>
    <w:unhideWhenUsed/>
    <w:qFormat/>
    <w:uiPriority w:val="99"/>
    <w:pPr>
      <w:spacing w:line="560" w:lineRule="exact"/>
      <w:ind w:firstLine="420" w:firstLineChars="200"/>
    </w:pPr>
    <w:rPr>
      <w:rFonts w:ascii="Times New Roman" w:hAnsi="Times New Roman" w:eastAsia="CESI仿宋-GB2312"/>
      <w:sz w:val="30"/>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12</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2025-10-19T09:54:00Z</dcterms:created>
  <dc:creator>user</dc:creator>
  <cp:lastModifiedBy>user</cp:lastModifiedBy>
  <cp:lastPrinted>2026-02-06T16:09:07Z</cp:lastPrinted>
  <dcterms:modified xsi:type="dcterms:W3CDTF">2026-02-06T16:16:41Z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298B69ED51A04A4F0A90856933A1EA97_43</vt:lpwstr>
  </property>
</Properties>
</file>